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ableTitle"/>
      </w:pPr>
      <w:r>
        <w:rPr>
          <w:rStyle w:val="Ninguno"/>
          <w:rtl w:val="0"/>
          <w:lang w:val="en-US"/>
        </w:rPr>
        <w:t>STROBE Statement</w:t>
      </w:r>
      <w:r>
        <w:rPr>
          <w:rStyle w:val="Ninguno"/>
          <w:rtl w:val="0"/>
          <w:lang w:val="en-US"/>
        </w:rPr>
        <w:t>—</w:t>
      </w:r>
      <w:r>
        <w:rPr>
          <w:rStyle w:val="Ninguno"/>
          <w:rtl w:val="0"/>
          <w:lang w:val="en-US"/>
        </w:rPr>
        <w:t>checklist of items that should be included in reports of observational studies</w:t>
      </w:r>
    </w:p>
    <w:p>
      <w:pPr>
        <w:pStyle w:val="TableTitle"/>
      </w:pPr>
    </w:p>
    <w:tbl>
      <w:tblPr>
        <w:tblW w:w="1477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22"/>
        <w:gridCol w:w="607"/>
        <w:gridCol w:w="7915"/>
        <w:gridCol w:w="1537"/>
        <w:gridCol w:w="2794"/>
      </w:tblGrid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Header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Item No.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ableHeader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Recommendation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Header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Page </w:t>
            </w:r>
            <w:r>
              <w:rPr>
                <w:rStyle w:val="Ninguno"/>
                <w:sz w:val="20"/>
                <w:szCs w:val="20"/>
                <w:shd w:val="nil" w:color="auto" w:fill="auto"/>
                <w:lang w:val="en-US"/>
              </w:rPr>
              <w:br w:type="textWrapping"/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No.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Header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Relevant text from manuscript</w:t>
            </w:r>
          </w:p>
        </w:tc>
      </w:tr>
      <w:tr>
        <w:tblPrEx>
          <w:shd w:val="clear" w:color="auto" w:fill="ced7e7"/>
        </w:tblPrEx>
        <w:trPr>
          <w:trHeight w:val="593" w:hRule="atLeast"/>
        </w:trPr>
        <w:tc>
          <w:tcPr>
            <w:tcW w:type="dxa" w:w="1922"/>
            <w:vMerge w:val="restart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Title and abstract</w:t>
            </w:r>
          </w:p>
        </w:tc>
        <w:tc>
          <w:tcPr>
            <w:tcW w:type="dxa" w:w="607"/>
            <w:vMerge w:val="restart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) Indicate the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 design with a commonly used term in the title or the abstract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1-2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An observational, comparative, retrospective study </w:t>
            </w:r>
          </w:p>
        </w:tc>
      </w:tr>
      <w:tr>
        <w:tblPrEx>
          <w:shd w:val="clear" w:color="auto" w:fill="ced7e7"/>
        </w:tblPrEx>
        <w:trPr>
          <w:trHeight w:val="908" w:hRule="atLeast"/>
        </w:trPr>
        <w:tc>
          <w:tcPr>
            <w:tcW w:type="dxa" w:w="1922"/>
            <w:vMerge w:val="continue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607"/>
            <w:vMerge w:val="continue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1-2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Reactive conversion during laparoscopic colectomies is associated with higher rates of major morbidity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981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SubHead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Introduction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2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Background/rationale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Laparoscopic surgery has become the standard approach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Objectives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State specific objectives, including any prespecified hypotheses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suppressAutoHyphens w:val="1"/>
              <w:spacing w:before="0" w:after="240" w:line="240" w:lineRule="auto"/>
            </w:pPr>
            <w:r>
              <w:rPr>
                <w:rFonts w:ascii="Times Roman" w:hAnsi="Times Roman"/>
                <w:sz w:val="20"/>
                <w:szCs w:val="20"/>
                <w:rtl w:val="0"/>
              </w:rPr>
              <w:t>To compare postoperative outcomes between preventive and reactive conversion during laparoscopic colectomy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1981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SubHead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Methods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8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Study design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Present key elements of study design early in the paper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Observational, comparative, retrospective study using a prospectively maintained database</w:t>
            </w:r>
          </w:p>
        </w:tc>
      </w:tr>
      <w:tr>
        <w:tblPrEx>
          <w:shd w:val="clear" w:color="auto" w:fill="ced7e7"/>
        </w:tblPrEx>
        <w:trPr>
          <w:trHeight w:val="1366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Setting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A database of patients who underwent laparoscopic colectomy between January 2019 and May 2025 at Sanatorio G</w:t>
            </w:r>
            <w:r>
              <w:rPr>
                <w:rFonts w:ascii="Times New Roman" w:hAnsi="Times New Roman" w:hint="default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ü</w:t>
            </w: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emes (Buenos Aires, Argentina) was analyzed</w:t>
            </w:r>
          </w:p>
        </w:tc>
      </w:tr>
      <w:tr>
        <w:tblPrEx>
          <w:shd w:val="clear" w:color="auto" w:fill="ced7e7"/>
        </w:tblPrEx>
        <w:trPr>
          <w:trHeight w:val="1793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Participants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rPr>
                <w:rStyle w:val="Ninguno"/>
                <w:sz w:val="20"/>
                <w:szCs w:val="20"/>
                <w:shd w:val="nil" w:color="auto" w:fill="auto"/>
              </w:rPr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Cohort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—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Give the eligibility criteria, and the sources and methods of selection of participants. Describe methods of follow-up</w:t>
            </w:r>
          </w:p>
          <w:p>
            <w:pPr>
              <w:pStyle w:val="Cuerpo"/>
              <w:tabs>
                <w:tab w:val="left" w:pos="5400"/>
              </w:tabs>
              <w:bidi w:val="0"/>
              <w:ind w:left="0" w:right="0" w:firstLine="0"/>
              <w:jc w:val="left"/>
              <w:rPr>
                <w:rStyle w:val="Ninguno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Case-control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—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Give the eligibility criteria, and the sources and methods of case ascertainment and control selection. Give the rationale for the choice of cases and controls</w:t>
            </w:r>
          </w:p>
          <w:p>
            <w:pPr>
              <w:pStyle w:val="Cuerpo"/>
              <w:tabs>
                <w:tab w:val="left" w:pos="540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Cross-sectional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—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Give the eligibility criteria, and the sources and methods of selection of participants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All adult patients (</w:t>
            </w:r>
            <w:r>
              <w:rPr>
                <w:rFonts w:ascii="Times New Roman" w:hAnsi="Times New Roman" w:hint="default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≥</w:t>
            </w: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18 years) who underwent laparoscopic colectomy requiring conversion were included. Patients with a history of inflammatory bowel disease were excluded</w:t>
            </w:r>
          </w:p>
        </w:tc>
      </w:tr>
      <w:tr>
        <w:tblPrEx>
          <w:shd w:val="clear" w:color="auto" w:fill="ced7e7"/>
        </w:tblPrEx>
        <w:trPr>
          <w:trHeight w:val="2393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Variables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4-5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Demographic, intraoperative, and postoperative variables were analyzed, including complications according to the Clavien-Dindo classification, reoperation, mortality, readmission, and length of hospital stay.</w:t>
            </w:r>
          </w:p>
        </w:tc>
      </w:tr>
      <w:tr>
        <w:tblPrEx>
          <w:shd w:val="clear" w:color="auto" w:fill="ced7e7"/>
        </w:tblPrEx>
        <w:trPr>
          <w:trHeight w:val="679" w:hRule="atLeast"/>
        </w:trPr>
        <w:tc>
          <w:tcPr>
            <w:tcW w:type="dxa" w:w="192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Data sources/ measurement</w:t>
            </w:r>
          </w:p>
        </w:tc>
        <w:tc>
          <w:tcPr>
            <w:tcW w:type="dxa" w:w="6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8*</w:t>
            </w:r>
          </w:p>
        </w:tc>
        <w:tc>
          <w:tcPr>
            <w:tcW w:type="dxa" w:w="79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type="dxa" w:w="153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279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after="0" w:line="25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Data were obtained from a prospectively maintained database</w:t>
            </w:r>
          </w:p>
        </w:tc>
      </w:tr>
    </w:tbl>
    <w:p>
      <w:pPr>
        <w:pStyle w:val="TableTitle"/>
        <w:widowControl w:val="0"/>
        <w:spacing w:line="240" w:lineRule="auto"/>
      </w:pPr>
    </w:p>
    <w:p>
      <w:pPr>
        <w:pStyle w:val="Cuerpo"/>
      </w:pPr>
      <w:bookmarkStart w:name="bold22" w:id="0"/>
      <w:r>
        <w:rPr>
          <w:rStyle w:val="Ninguno"/>
          <w:sz w:val="16"/>
          <w:szCs w:val="16"/>
          <w:rtl w:val="0"/>
        </w:rPr>
        <w:t>C</w:t>
      </w:r>
      <w:bookmarkEnd w:id="0"/>
      <w:bookmarkStart w:name="italic22" w:id="1"/>
      <w:r>
        <w:rPr>
          <w:rStyle w:val="Ninguno"/>
          <w:sz w:val="16"/>
          <w:szCs w:val="16"/>
          <w:rtl w:val="0"/>
          <w:lang w:val="en-US"/>
        </w:rPr>
        <w:t>ontinued on next page</w:t>
      </w:r>
      <w:r>
        <w:rPr>
          <w:rStyle w:val="Ninguno"/>
          <w:rtl w:val="0"/>
        </w:rPr>
        <w:t xml:space="preserve"> </w:t>
      </w: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1477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99"/>
        <w:gridCol w:w="738"/>
        <w:gridCol w:w="8208"/>
        <w:gridCol w:w="1257"/>
        <w:gridCol w:w="3073"/>
      </w:tblGrid>
      <w:tr>
        <w:tblPrEx>
          <w:shd w:val="clear" w:color="auto" w:fill="ced7e7"/>
        </w:tblPrEx>
        <w:trPr>
          <w:trHeight w:val="679" w:hRule="atLeast"/>
        </w:trPr>
        <w:tc>
          <w:tcPr>
            <w:tcW w:type="dxa" w:w="149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Quantitative variables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Student</w:t>
            </w:r>
            <w:r>
              <w:rPr>
                <w:rFonts w:ascii="Times New Roman" w:hAnsi="Times New Roman" w:hint="default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’</w:t>
            </w: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s t-test was used for continuous variables and chi-square test for categorical variables.</w:t>
            </w:r>
          </w:p>
        </w:tc>
      </w:tr>
      <w:tr>
        <w:tblPrEx>
          <w:shd w:val="clear" w:color="auto" w:fill="ced7e7"/>
        </w:tblPrEx>
        <w:trPr>
          <w:trHeight w:val="1594" w:hRule="atLeast"/>
        </w:trPr>
        <w:tc>
          <w:tcPr>
            <w:tcW w:type="dxa" w:w="149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Statistical methods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s-ES_tradnl"/>
              </w:rPr>
              <w:t>0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after="0" w:line="25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Data were analyzed using IBM SPSS Statistics version 26.0. Student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 xml:space="preserve">s t-test was used for continuous variables and chi-square test for categorical variables. A p-value &lt;0.05 was considered statistically significant. 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4775"/>
            <w:gridSpan w:val="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SubHead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Results</w:t>
            </w:r>
          </w:p>
        </w:tc>
      </w:tr>
      <w:tr>
        <w:tblPrEx>
          <w:shd w:val="clear" w:color="auto" w:fill="ced7e7"/>
        </w:tblPrEx>
        <w:trPr>
          <w:trHeight w:val="908" w:hRule="atLeast"/>
        </w:trPr>
        <w:tc>
          <w:tcPr>
            <w:tcW w:type="dxa" w:w="1499"/>
            <w:vMerge w:val="restart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Participants</w:t>
            </w:r>
          </w:p>
        </w:tc>
        <w:tc>
          <w:tcPr>
            <w:tcW w:type="dxa" w:w="738"/>
            <w:vMerge w:val="restart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13*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(a) Report numbers of individuals at each stage of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—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eg numbers potentially eligible, examined for eligibility, confirmed eligible, included in the study, completing follow-up, and analysed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after="0" w:line="25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During the study period, 511 laparoscopic colectomies were performed, of which 63 (12.3%) required conversion</w:t>
            </w:r>
          </w:p>
        </w:tc>
      </w:tr>
      <w:tr>
        <w:tblPrEx>
          <w:shd w:val="clear" w:color="auto" w:fill="ced7e7"/>
        </w:tblPrEx>
        <w:trPr>
          <w:trHeight w:val="593" w:hRule="atLeast"/>
        </w:trPr>
        <w:tc>
          <w:tcPr>
            <w:tcW w:type="dxa" w:w="1499"/>
            <w:vMerge w:val="continue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738"/>
            <w:vMerge w:val="continue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(c) Consider use of a flow diagram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Figure 1. Flow diagram of patient Selection</w:t>
            </w:r>
          </w:p>
        </w:tc>
      </w:tr>
      <w:tr>
        <w:tblPrEx>
          <w:shd w:val="clear" w:color="auto" w:fill="ced7e7"/>
        </w:tblPrEx>
        <w:trPr>
          <w:trHeight w:val="893" w:hRule="atLeast"/>
        </w:trPr>
        <w:tc>
          <w:tcPr>
            <w:tcW w:type="dxa" w:w="149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Descriptive data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14*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Baseline demographic and Clinical characteristics are presented in table 2 </w:t>
            </w:r>
          </w:p>
        </w:tc>
      </w:tr>
      <w:tr>
        <w:tblPrEx>
          <w:shd w:val="clear" w:color="auto" w:fill="ced7e7"/>
        </w:tblPrEx>
        <w:trPr>
          <w:trHeight w:val="1137" w:hRule="atLeast"/>
        </w:trPr>
        <w:tc>
          <w:tcPr>
            <w:tcW w:type="dxa" w:w="149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Outcome data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15*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Cohort study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—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Report numbers of outcome events or summary measures over time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ind w:left="260" w:firstLine="0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Postoperative outcomes including complications, reoperations, ICU stay, and mortality are presented in Table 4.</w:t>
            </w:r>
          </w:p>
        </w:tc>
      </w:tr>
      <w:tr>
        <w:tblPrEx>
          <w:shd w:val="clear" w:color="auto" w:fill="ced7e7"/>
        </w:tblPrEx>
        <w:trPr>
          <w:trHeight w:val="1366" w:hRule="atLeast"/>
        </w:trPr>
        <w:tc>
          <w:tcPr>
            <w:tcW w:type="dxa" w:w="149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Main results</w:t>
            </w:r>
          </w:p>
        </w:tc>
        <w:tc>
          <w:tcPr>
            <w:tcW w:type="dxa" w:w="73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820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(</w:t>
            </w:r>
            <w:r>
              <w:rPr>
                <w:rStyle w:val="Ninguno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type="dxa" w:w="12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307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eterminad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50" w:lineRule="auto"/>
              <w:jc w:val="left"/>
            </w:pP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Reactive conversion was associated with higher rates of major complications and was identified as an independent risk factor in multivariate analysis (OR 16.3, 95% CI 2.14</w:t>
            </w:r>
            <w:r>
              <w:rPr>
                <w:rFonts w:ascii="Times New Roman" w:hAnsi="Times New Roman" w:hint="default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–</w:t>
            </w:r>
            <w:r>
              <w:rPr>
                <w:rFonts w:ascii="Times New Roman" w:hAnsi="Times New Roman"/>
                <w:outline w:val="0"/>
                <w:color w:val="111111"/>
                <w:sz w:val="20"/>
                <w:szCs w:val="20"/>
                <w:rtl w:val="0"/>
                <w14:textFill>
                  <w14:solidFill>
                    <w14:srgbClr w14:val="111111"/>
                  </w14:solidFill>
                </w14:textFill>
              </w:rPr>
              <w:t>125.17; p=0.007)</w:t>
            </w:r>
          </w:p>
        </w:tc>
      </w:tr>
    </w:tbl>
    <w:p>
      <w:pPr>
        <w:pStyle w:val="Cuerpo"/>
        <w:widowControl w:val="0"/>
        <w:spacing w:line="240" w:lineRule="auto"/>
        <w:rPr>
          <w:rStyle w:val="Ninguno"/>
        </w:rPr>
      </w:pPr>
      <w:bookmarkEnd w:id="1"/>
    </w:p>
    <w:p>
      <w:pPr>
        <w:pStyle w:val="Cuerpo"/>
      </w:pPr>
      <w:bookmarkStart w:name="bold44" w:id="2"/>
      <w:r>
        <w:rPr>
          <w:rStyle w:val="Ninguno"/>
          <w:sz w:val="16"/>
          <w:szCs w:val="16"/>
          <w:rtl w:val="0"/>
        </w:rPr>
        <w:t>C</w:t>
      </w:r>
      <w:bookmarkEnd w:id="2"/>
      <w:bookmarkStart w:name="italic43" w:id="3"/>
      <w:r>
        <w:rPr>
          <w:rStyle w:val="Ninguno"/>
          <w:sz w:val="16"/>
          <w:szCs w:val="16"/>
          <w:rtl w:val="0"/>
          <w:lang w:val="en-US"/>
        </w:rPr>
        <w:t>ontinued on next page</w:t>
      </w:r>
      <w:r>
        <w:rPr>
          <w:rStyle w:val="Ninguno"/>
          <w:rtl w:val="0"/>
        </w:rPr>
        <w:t xml:space="preserve"> </w:t>
      </w: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1479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75"/>
        <w:gridCol w:w="410"/>
        <w:gridCol w:w="8572"/>
        <w:gridCol w:w="1249"/>
        <w:gridCol w:w="3087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14793"/>
            <w:gridSpan w:val="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SubHead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Discussion</w:t>
            </w:r>
          </w:p>
        </w:tc>
      </w:tr>
      <w:tr>
        <w:tblPrEx>
          <w:shd w:val="clear" w:color="auto" w:fill="ced7e7"/>
        </w:tblPrEx>
        <w:trPr>
          <w:trHeight w:val="908" w:hRule="atLeast"/>
        </w:trPr>
        <w:tc>
          <w:tcPr>
            <w:tcW w:type="dxa" w:w="147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Key results</w:t>
            </w:r>
          </w:p>
        </w:tc>
        <w:tc>
          <w:tcPr>
            <w:tcW w:type="dxa" w:w="4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18</w:t>
            </w:r>
          </w:p>
        </w:tc>
        <w:tc>
          <w:tcPr>
            <w:tcW w:type="dxa" w:w="857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Summarise key results with reference to study objectives</w:t>
            </w:r>
          </w:p>
        </w:tc>
        <w:tc>
          <w:tcPr>
            <w:tcW w:type="dxa" w:w="124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8-9</w:t>
            </w:r>
          </w:p>
        </w:tc>
        <w:tc>
          <w:tcPr>
            <w:tcW w:type="dxa" w:w="308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after="0" w:line="250" w:lineRule="auto"/>
              <w:ind w:left="26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Reactive conversion was associated with higher morbidity and mortality compared to preventive conversion</w:t>
            </w:r>
          </w:p>
        </w:tc>
      </w:tr>
      <w:tr>
        <w:tblPrEx>
          <w:shd w:val="clear" w:color="auto" w:fill="ced7e7"/>
        </w:tblPrEx>
        <w:trPr>
          <w:trHeight w:val="908" w:hRule="atLeast"/>
        </w:trPr>
        <w:tc>
          <w:tcPr>
            <w:tcW w:type="dxa" w:w="147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Limitations</w:t>
            </w:r>
          </w:p>
        </w:tc>
        <w:tc>
          <w:tcPr>
            <w:tcW w:type="dxa" w:w="4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  <w:jc w:val="center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19</w:t>
            </w:r>
          </w:p>
        </w:tc>
        <w:tc>
          <w:tcPr>
            <w:tcW w:type="dxa" w:w="857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tabs>
                <w:tab w:val="left" w:pos="5400"/>
              </w:tabs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type="dxa" w:w="124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400"/>
              </w:tabs>
              <w:suppressAutoHyphens w:val="0"/>
              <w:bidi w:val="0"/>
              <w:spacing w:before="0" w:after="0" w:line="300" w:lineRule="exac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308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after="0" w:line="250" w:lineRule="auto"/>
              <w:ind w:left="26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11111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11111"/>
                  </w14:solidFill>
                </w14:textFill>
              </w:rPr>
              <w:t>This study has several limitations, including its retrospective design and potential selection bias.</w:t>
            </w:r>
          </w:p>
        </w:tc>
      </w:tr>
    </w:tbl>
    <w:p>
      <w:pPr>
        <w:pStyle w:val="Cuerpo"/>
        <w:widowControl w:val="0"/>
        <w:spacing w:line="240" w:lineRule="auto"/>
        <w:rPr>
          <w:rStyle w:val="Ninguno"/>
        </w:rPr>
      </w:pPr>
    </w:p>
    <w:p>
      <w:pPr>
        <w:pStyle w:val="TableNote"/>
        <w:tabs>
          <w:tab w:val="left" w:pos="5400"/>
        </w:tabs>
      </w:pPr>
      <w:r>
        <w:rPr>
          <w:rStyle w:val="Ninguno"/>
          <w:sz w:val="20"/>
          <w:szCs w:val="20"/>
        </w:rPr>
      </w:r>
      <w:bookmarkEnd w:id="3"/>
    </w:p>
    <w:sectPr>
      <w:headerReference w:type="default" r:id="rId4"/>
      <w:footerReference w:type="default" r:id="rId5"/>
      <w:pgSz w:w="16840" w:h="11900" w:orient="landscape"/>
      <w:pgMar w:top="1134" w:right="1134" w:bottom="1134" w:left="993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Style w:val="Ninguno"/>
        <w:rtl w:val="0"/>
      </w:rPr>
      <w:fldChar w:fldCharType="begin" w:fldLock="0"/>
    </w:r>
    <w:r>
      <w:rPr>
        <w:rStyle w:val="Ninguno"/>
        <w:rtl w:val="0"/>
      </w:rPr>
      <w:instrText xml:space="preserve"> PAGE </w:instrText>
    </w:r>
    <w:r>
      <w:rPr>
        <w:rStyle w:val="Ninguno"/>
        <w:rtl w:val="0"/>
      </w:rPr>
      <w:fldChar w:fldCharType="separate" w:fldLock="0"/>
    </w:r>
    <w:r>
      <w:rPr>
        <w:rStyle w:val="Ninguno"/>
        <w:rtl w:val="0"/>
      </w:rPr>
    </w:r>
    <w:r>
      <w:rPr>
        <w:rStyle w:val="Ninguno"/>
        <w:rtl w:val="0"/>
      </w:rPr>
      <w:fldChar w:fldCharType="end" w:fldLock="0"/>
    </w:r>
    <w:r>
      <w:rPr>
        <w:rStyle w:val="Ninguno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ableTitle">
    <w:name w:val="TableTitle"/>
    <w:next w:val="Table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00" w:lineRule="exact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ableHeader">
    <w:name w:val="TableHeader"/>
    <w:next w:val="TableHead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00" w:lineRule="exact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SubHead">
    <w:name w:val="TableSubHead"/>
    <w:next w:val="TableSubHea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ableNote">
    <w:name w:val="TableNote"/>
    <w:next w:val="Table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00" w:lineRule="exact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