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4674" w:rsidRPr="004E76F9" w:rsidRDefault="00845D46" w:rsidP="00704674">
      <w:pPr>
        <w:spacing w:line="240" w:lineRule="auto"/>
        <w:jc w:val="center"/>
        <w:rPr>
          <w:rFonts w:eastAsia="Times New Roman"/>
          <w:sz w:val="24"/>
          <w:szCs w:val="24"/>
          <w:lang w:val="en-US"/>
        </w:rPr>
      </w:pPr>
      <w:r>
        <w:rPr>
          <w:rFonts w:ascii="Times New Roman" w:hAnsi="Times New Roman" w:cs="Times New Roman"/>
          <w:noProof/>
          <w:sz w:val="17"/>
          <w:szCs w:val="17"/>
          <w:lang w:val="es-AR" w:eastAsia="es-AR"/>
        </w:rPr>
        <mc:AlternateContent>
          <mc:Choice Requires="wps">
            <w:drawing>
              <wp:anchor distT="0" distB="0" distL="114300" distR="114300" simplePos="0" relativeHeight="251661312" behindDoc="1" locked="0" layoutInCell="1" allowOverlap="1" wp14:anchorId="4AEE2B73" wp14:editId="2E05AB07">
                <wp:simplePos x="0" y="0"/>
                <wp:positionH relativeFrom="margin">
                  <wp:align>right</wp:align>
                </wp:positionH>
                <wp:positionV relativeFrom="paragraph">
                  <wp:posOffset>-3941</wp:posOffset>
                </wp:positionV>
                <wp:extent cx="5943600" cy="216775"/>
                <wp:effectExtent l="0" t="0" r="0"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16775"/>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18C6" id="Rectangle 6" o:spid="_x0000_s1026" style="position:absolute;margin-left:416.8pt;margin-top:-.3pt;width:468pt;height:17.0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" fillcolor="#92cddc" stroked="f">
                <w10:wrap anchorx="margin"/>
              </v:rect>
            </w:pict>
          </mc:Fallback>
        </mc:AlternateContent>
      </w:r>
      <w:r w:rsidR="00704674" w:rsidRPr="004E76F9">
        <w:rPr>
          <w:rFonts w:eastAsia="Times New Roman"/>
          <w:sz w:val="28"/>
          <w:szCs w:val="24"/>
          <w:lang w:val="en-US"/>
        </w:rPr>
        <w:t>Validation of Prognostic Scores for Fournier's Gangrene</w:t>
      </w:r>
    </w:p>
    <w:p w:rsidR="00704674" w:rsidRPr="00704674" w:rsidRDefault="00704674" w:rsidP="00704674">
      <w:pPr>
        <w:spacing w:line="240" w:lineRule="auto"/>
        <w:jc w:val="both"/>
        <w:rPr>
          <w:rFonts w:ascii="Times New Roman" w:hAnsi="Times New Roman" w:cs="Times New Roman"/>
          <w:sz w:val="17"/>
          <w:szCs w:val="17"/>
          <w:lang w:val="en-US"/>
        </w:rPr>
      </w:pPr>
      <w:r>
        <w:rPr>
          <w:rFonts w:ascii="Times New Roman" w:hAnsi="Times New Roman" w:cs="Times New Roman"/>
          <w:noProof/>
          <w:sz w:val="17"/>
          <w:szCs w:val="17"/>
          <w:lang w:val="es-AR" w:eastAsia="es-AR"/>
        </w:rPr>
        <mc:AlternateContent>
          <mc:Choice Requires="wps">
            <w:drawing>
              <wp:anchor distT="0" distB="0" distL="114300" distR="114300" simplePos="0" relativeHeight="251657214" behindDoc="1" locked="0" layoutInCell="1" allowOverlap="1">
                <wp:simplePos x="0" y="0"/>
                <wp:positionH relativeFrom="margin">
                  <wp:posOffset>4763</wp:posOffset>
                </wp:positionH>
                <wp:positionV relativeFrom="paragraph">
                  <wp:posOffset>24129</wp:posOffset>
                </wp:positionV>
                <wp:extent cx="5941958" cy="1057275"/>
                <wp:effectExtent l="0" t="0" r="1905" b="9525"/>
                <wp:wrapNone/>
                <wp:docPr id="1" name="Rectángulo 1"/>
                <wp:cNvGraphicFramePr/>
                <a:graphic xmlns:a="http://schemas.openxmlformats.org/drawingml/2006/main">
                  <a:graphicData uri="http://schemas.microsoft.com/office/word/2010/wordprocessingShape">
                    <wps:wsp>
                      <wps:cNvSpPr/>
                      <wps:spPr>
                        <a:xfrm>
                          <a:off x="0" y="0"/>
                          <a:ext cx="5941958" cy="1057275"/>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FF578F" id="Rectángulo 1" o:spid="_x0000_s1026" style="position:absolute;margin-left:.4pt;margin-top:1.9pt;width:467.85pt;height:83.25pt;z-index:-25165926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" fillcolor="#4bacc6 [3208]" stroked="f">
                <v:fill opacity="32896f"/>
                <w10:wrap anchorx="margin"/>
              </v:rect>
            </w:pict>
          </mc:Fallback>
        </mc:AlternateContent>
      </w:r>
    </w:p>
    <w:p w:rsidR="00704674" w:rsidRDefault="00704674" w:rsidP="00704674">
      <w:pPr>
        <w:spacing w:line="240" w:lineRule="auto"/>
        <w:ind w:firstLine="426"/>
        <w:jc w:val="both"/>
        <w:rPr>
          <w:rFonts w:ascii="Times New Roman" w:hAnsi="Times New Roman" w:cs="Times New Roman"/>
          <w:sz w:val="17"/>
          <w:szCs w:val="17"/>
        </w:rPr>
      </w:pPr>
      <w:r w:rsidRPr="009027C7">
        <w:rPr>
          <w:rFonts w:ascii="Times New Roman" w:hAnsi="Times New Roman" w:cs="Times New Roman"/>
          <w:sz w:val="17"/>
          <w:szCs w:val="17"/>
          <w:lang w:val="en-US"/>
        </w:rPr>
        <w:t xml:space="preserve">      </w:t>
      </w:r>
      <w:r w:rsidR="008263FB" w:rsidRPr="009027C7">
        <w:rPr>
          <w:rFonts w:ascii="Times New Roman" w:hAnsi="Times New Roman" w:cs="Times New Roman"/>
          <w:sz w:val="17"/>
          <w:szCs w:val="17"/>
          <w:lang w:val="en-US"/>
        </w:rPr>
        <w:t xml:space="preserve"> </w:t>
      </w:r>
      <w:r w:rsidRPr="00CC55B2">
        <w:rPr>
          <w:rFonts w:ascii="Times New Roman" w:hAnsi="Times New Roman" w:cs="Times New Roman"/>
          <w:sz w:val="17"/>
          <w:szCs w:val="17"/>
        </w:rPr>
        <w:t>Franco Troilo</w:t>
      </w:r>
      <w:r w:rsidRPr="00CC55B2">
        <w:rPr>
          <w:rFonts w:ascii="Times New Roman" w:hAnsi="Times New Roman" w:cs="Times New Roman"/>
          <w:sz w:val="17"/>
          <w:szCs w:val="17"/>
          <w:vertAlign w:val="superscript"/>
        </w:rPr>
        <w:t>1</w:t>
      </w:r>
      <w:r w:rsidRPr="00CC55B2">
        <w:rPr>
          <w:rFonts w:ascii="Times New Roman" w:hAnsi="Times New Roman" w:cs="Times New Roman"/>
          <w:sz w:val="17"/>
          <w:szCs w:val="17"/>
        </w:rPr>
        <w:t xml:space="preserve">, </w:t>
      </w:r>
      <w:r w:rsidR="008905D2">
        <w:rPr>
          <w:rFonts w:ascii="Times New Roman" w:hAnsi="Times New Roman" w:cs="Times New Roman"/>
          <w:sz w:val="17"/>
          <w:szCs w:val="17"/>
        </w:rPr>
        <w:t>Federico Carballo</w:t>
      </w:r>
      <w:r w:rsidRPr="00CC55B2">
        <w:rPr>
          <w:rFonts w:ascii="Times New Roman" w:hAnsi="Times New Roman" w:cs="Times New Roman"/>
          <w:sz w:val="17"/>
          <w:szCs w:val="17"/>
          <w:vertAlign w:val="superscript"/>
        </w:rPr>
        <w:t>2</w:t>
      </w:r>
      <w:r w:rsidRPr="00CC55B2">
        <w:rPr>
          <w:rFonts w:ascii="Times New Roman" w:hAnsi="Times New Roman" w:cs="Times New Roman"/>
          <w:sz w:val="17"/>
          <w:szCs w:val="17"/>
        </w:rPr>
        <w:t xml:space="preserve">, MAAC, MSACP, </w:t>
      </w:r>
      <w:r w:rsidR="008905D2">
        <w:rPr>
          <w:rFonts w:ascii="Times New Roman" w:hAnsi="Times New Roman" w:cs="Times New Roman"/>
          <w:sz w:val="17"/>
          <w:szCs w:val="17"/>
        </w:rPr>
        <w:t>Pablo Farina</w:t>
      </w:r>
      <w:r w:rsidRPr="00CC55B2">
        <w:rPr>
          <w:rFonts w:ascii="Times New Roman" w:hAnsi="Times New Roman" w:cs="Times New Roman"/>
          <w:sz w:val="17"/>
          <w:szCs w:val="17"/>
          <w:vertAlign w:val="superscript"/>
        </w:rPr>
        <w:t>3</w:t>
      </w:r>
      <w:r w:rsidRPr="00CC55B2">
        <w:rPr>
          <w:rFonts w:ascii="Times New Roman" w:hAnsi="Times New Roman" w:cs="Times New Roman"/>
          <w:sz w:val="17"/>
          <w:szCs w:val="17"/>
        </w:rPr>
        <w:t>, MAAC, MSACP,  Leonardo L. Dimasi</w:t>
      </w:r>
      <w:r w:rsidRPr="00CC55B2">
        <w:rPr>
          <w:rFonts w:ascii="Times New Roman" w:hAnsi="Times New Roman" w:cs="Times New Roman"/>
          <w:sz w:val="17"/>
          <w:szCs w:val="17"/>
          <w:vertAlign w:val="superscript"/>
        </w:rPr>
        <w:t>4</w:t>
      </w:r>
      <w:r w:rsidRPr="00CC55B2">
        <w:rPr>
          <w:rFonts w:ascii="Times New Roman" w:hAnsi="Times New Roman" w:cs="Times New Roman"/>
          <w:sz w:val="17"/>
          <w:szCs w:val="17"/>
        </w:rPr>
        <w:t xml:space="preserve">, MAAC </w:t>
      </w:r>
    </w:p>
    <w:p w:rsidR="00704674" w:rsidRDefault="00704674" w:rsidP="00704674">
      <w:pPr>
        <w:spacing w:line="240" w:lineRule="auto"/>
        <w:ind w:firstLine="426"/>
        <w:jc w:val="both"/>
        <w:rPr>
          <w:rFonts w:ascii="Times New Roman" w:hAnsi="Times New Roman" w:cs="Times New Roman"/>
          <w:sz w:val="17"/>
          <w:szCs w:val="17"/>
        </w:rPr>
      </w:pPr>
    </w:p>
    <w:p w:rsidR="00704674" w:rsidRDefault="00704674" w:rsidP="008263FB">
      <w:pPr>
        <w:spacing w:line="240" w:lineRule="auto"/>
        <w:ind w:left="567" w:firstLine="142"/>
        <w:jc w:val="both"/>
        <w:rPr>
          <w:rFonts w:ascii="Times New Roman" w:hAnsi="Times New Roman" w:cs="Times New Roman"/>
          <w:sz w:val="13"/>
          <w:szCs w:val="13"/>
          <w:lang w:val="en-US"/>
        </w:rPr>
      </w:pPr>
      <w:r w:rsidRPr="00DA2EC0">
        <w:rPr>
          <w:rFonts w:ascii="Times New Roman" w:hAnsi="Times New Roman" w:cs="Times New Roman"/>
          <w:sz w:val="13"/>
          <w:szCs w:val="13"/>
          <w:lang w:val="en-US"/>
        </w:rPr>
        <w:t xml:space="preserve">Surgery Division, </w:t>
      </w:r>
      <w:proofErr w:type="spellStart"/>
      <w:r w:rsidRPr="00DA2EC0">
        <w:rPr>
          <w:rFonts w:ascii="Times New Roman" w:hAnsi="Times New Roman" w:cs="Times New Roman"/>
          <w:sz w:val="13"/>
          <w:szCs w:val="13"/>
          <w:lang w:val="en-US"/>
        </w:rPr>
        <w:t>Pirovano</w:t>
      </w:r>
      <w:proofErr w:type="spellEnd"/>
      <w:r w:rsidRPr="00DA2EC0">
        <w:rPr>
          <w:rFonts w:ascii="Times New Roman" w:hAnsi="Times New Roman" w:cs="Times New Roman"/>
          <w:sz w:val="13"/>
          <w:szCs w:val="13"/>
          <w:lang w:val="en-US"/>
        </w:rPr>
        <w:t xml:space="preserve"> Hospital. Buenos Aires, Argentina</w:t>
      </w:r>
    </w:p>
    <w:p w:rsidR="008263FB" w:rsidRPr="00704674" w:rsidRDefault="008263FB" w:rsidP="008263FB">
      <w:pPr>
        <w:spacing w:line="240" w:lineRule="auto"/>
        <w:ind w:left="567" w:firstLine="142"/>
        <w:jc w:val="both"/>
        <w:rPr>
          <w:rFonts w:ascii="Times New Roman" w:hAnsi="Times New Roman" w:cs="Times New Roman"/>
          <w:sz w:val="17"/>
          <w:szCs w:val="17"/>
          <w:lang w:val="en-US"/>
        </w:rPr>
      </w:pPr>
    </w:p>
    <w:p w:rsidR="00704674" w:rsidRPr="00704674" w:rsidRDefault="00704674" w:rsidP="008263FB">
      <w:pPr>
        <w:spacing w:line="240" w:lineRule="auto"/>
        <w:ind w:left="567" w:firstLine="142"/>
        <w:jc w:val="both"/>
        <w:rPr>
          <w:rFonts w:ascii="Times New Roman" w:hAnsi="Times New Roman" w:cs="Times New Roman"/>
          <w:sz w:val="17"/>
          <w:szCs w:val="17"/>
          <w:lang w:val="en-US"/>
        </w:rPr>
      </w:pPr>
      <w:r w:rsidRPr="00CC55B2">
        <w:rPr>
          <w:rFonts w:ascii="Times New Roman" w:hAnsi="Times New Roman" w:cs="Times New Roman"/>
          <w:sz w:val="13"/>
          <w:szCs w:val="13"/>
          <w:vertAlign w:val="superscript"/>
          <w:lang w:val="en-US"/>
        </w:rPr>
        <w:t>1</w:t>
      </w:r>
      <w:r w:rsidRPr="00CC55B2">
        <w:rPr>
          <w:rFonts w:ascii="Times New Roman" w:hAnsi="Times New Roman" w:cs="Times New Roman"/>
          <w:sz w:val="13"/>
          <w:szCs w:val="13"/>
          <w:lang w:val="en-US"/>
        </w:rPr>
        <w:t>Surgeon. Surgery Resident Instructor</w:t>
      </w:r>
    </w:p>
    <w:p w:rsidR="008905D2" w:rsidRDefault="00704674" w:rsidP="008263FB">
      <w:pPr>
        <w:spacing w:line="240" w:lineRule="auto"/>
        <w:ind w:left="567" w:firstLine="142"/>
        <w:jc w:val="both"/>
        <w:rPr>
          <w:rFonts w:ascii="Times New Roman" w:hAnsi="Times New Roman" w:cs="Times New Roman"/>
          <w:sz w:val="13"/>
          <w:szCs w:val="13"/>
          <w:lang w:val="en-US"/>
        </w:rPr>
      </w:pPr>
      <w:r w:rsidRPr="00CC55B2">
        <w:rPr>
          <w:rFonts w:ascii="Times New Roman" w:hAnsi="Times New Roman" w:cs="Times New Roman"/>
          <w:sz w:val="13"/>
          <w:szCs w:val="13"/>
          <w:vertAlign w:val="superscript"/>
          <w:lang w:val="en-US"/>
        </w:rPr>
        <w:t>2</w:t>
      </w:r>
      <w:r w:rsidR="008905D2" w:rsidRPr="00CC55B2">
        <w:rPr>
          <w:rFonts w:ascii="Times New Roman" w:hAnsi="Times New Roman" w:cs="Times New Roman"/>
          <w:sz w:val="13"/>
          <w:szCs w:val="13"/>
          <w:lang w:val="en-US"/>
        </w:rPr>
        <w:t>Surgeon. Coloproctology Specialist. Staff Member, Surgery Division, Coloproctology Sector</w:t>
      </w:r>
      <w:r w:rsidR="008905D2" w:rsidRPr="00CC55B2">
        <w:rPr>
          <w:rFonts w:ascii="Times New Roman" w:hAnsi="Times New Roman" w:cs="Times New Roman"/>
          <w:sz w:val="13"/>
          <w:szCs w:val="13"/>
          <w:lang w:val="en-US"/>
        </w:rPr>
        <w:t xml:space="preserve"> </w:t>
      </w:r>
    </w:p>
    <w:p w:rsidR="00704674" w:rsidRPr="00704674" w:rsidRDefault="00704674" w:rsidP="008905D2">
      <w:pPr>
        <w:spacing w:line="240" w:lineRule="auto"/>
        <w:ind w:left="567" w:firstLine="142"/>
        <w:jc w:val="both"/>
        <w:rPr>
          <w:rFonts w:ascii="Times New Roman" w:hAnsi="Times New Roman" w:cs="Times New Roman"/>
          <w:sz w:val="17"/>
          <w:szCs w:val="17"/>
          <w:lang w:val="en-US"/>
        </w:rPr>
      </w:pPr>
      <w:r w:rsidRPr="00CC55B2">
        <w:rPr>
          <w:rFonts w:ascii="Times New Roman" w:hAnsi="Times New Roman" w:cs="Times New Roman"/>
          <w:sz w:val="13"/>
          <w:szCs w:val="13"/>
          <w:vertAlign w:val="superscript"/>
          <w:lang w:val="en-US"/>
        </w:rPr>
        <w:t>3</w:t>
      </w:r>
      <w:r w:rsidR="008905D2" w:rsidRPr="00CC55B2">
        <w:rPr>
          <w:rFonts w:ascii="Times New Roman" w:hAnsi="Times New Roman" w:cs="Times New Roman"/>
          <w:sz w:val="13"/>
          <w:szCs w:val="13"/>
          <w:lang w:val="en-US"/>
        </w:rPr>
        <w:t>Surgeon, Coloproctology Specialist. Head of On-Call Services</w:t>
      </w:r>
    </w:p>
    <w:p w:rsidR="00704674" w:rsidRPr="009027C7" w:rsidRDefault="00704674" w:rsidP="008263FB">
      <w:pPr>
        <w:spacing w:line="240" w:lineRule="auto"/>
        <w:ind w:left="567" w:firstLine="142"/>
        <w:jc w:val="both"/>
        <w:rPr>
          <w:rFonts w:ascii="Times New Roman" w:hAnsi="Times New Roman" w:cs="Times New Roman"/>
          <w:sz w:val="17"/>
          <w:szCs w:val="17"/>
          <w:lang w:val="en-US"/>
        </w:rPr>
      </w:pPr>
      <w:r w:rsidRPr="00CC55B2">
        <w:rPr>
          <w:rFonts w:ascii="Times New Roman" w:hAnsi="Times New Roman" w:cs="Times New Roman"/>
          <w:sz w:val="13"/>
          <w:szCs w:val="13"/>
          <w:vertAlign w:val="superscript"/>
          <w:lang w:val="en-US"/>
        </w:rPr>
        <w:t>4</w:t>
      </w:r>
      <w:r w:rsidRPr="00CC55B2">
        <w:rPr>
          <w:rFonts w:ascii="Times New Roman" w:hAnsi="Times New Roman" w:cs="Times New Roman"/>
          <w:sz w:val="13"/>
          <w:szCs w:val="13"/>
          <w:lang w:val="en-US"/>
        </w:rPr>
        <w:t>Surgeon. Head of the Surgery Unit</w:t>
      </w:r>
    </w:p>
    <w:p w:rsidR="00F033B8" w:rsidRPr="00F033B8" w:rsidRDefault="00F033B8" w:rsidP="00704674">
      <w:pPr>
        <w:pStyle w:val="Normal1"/>
        <w:tabs>
          <w:tab w:val="left" w:pos="851"/>
          <w:tab w:val="left" w:pos="9214"/>
        </w:tabs>
        <w:spacing w:line="240" w:lineRule="auto"/>
        <w:rPr>
          <w:sz w:val="28"/>
          <w:szCs w:val="24"/>
          <w:lang w:val="en-US"/>
        </w:rPr>
      </w:pPr>
    </w:p>
    <w:p w:rsidR="00046066" w:rsidRDefault="00046066" w:rsidP="00CA7D33">
      <w:pPr>
        <w:pStyle w:val="Cuerpo"/>
        <w:jc w:val="both"/>
        <w:rPr>
          <w:rStyle w:val="Ninguno"/>
          <w:rFonts w:ascii="Arial" w:hAnsi="Arial" w:cs="Arial"/>
          <w:b/>
          <w:bCs/>
          <w:color w:val="11B7A3"/>
          <w:sz w:val="13"/>
          <w:szCs w:val="13"/>
          <w:lang w:val="en-US"/>
        </w:rPr>
      </w:pPr>
    </w:p>
    <w:p w:rsidR="00CA7D33" w:rsidRPr="00D13953" w:rsidRDefault="00CA7D33" w:rsidP="00CA7D33">
      <w:pPr>
        <w:pStyle w:val="Cuerpo"/>
        <w:jc w:val="both"/>
        <w:rPr>
          <w:rStyle w:val="Ninguno"/>
          <w:rFonts w:ascii="Arial" w:hAnsi="Arial" w:cs="Arial"/>
          <w:b/>
          <w:bCs/>
          <w:color w:val="11B7A3"/>
          <w:sz w:val="13"/>
          <w:szCs w:val="13"/>
          <w:lang w:val="en-US"/>
        </w:rPr>
      </w:pPr>
      <w:r w:rsidRPr="00D13953">
        <w:rPr>
          <w:rStyle w:val="Ninguno"/>
          <w:rFonts w:ascii="Arial" w:hAnsi="Arial" w:cs="Arial"/>
          <w:b/>
          <w:bCs/>
          <w:color w:val="11B7A3"/>
          <w:sz w:val="13"/>
          <w:szCs w:val="13"/>
          <w:lang w:val="en-US"/>
        </w:rPr>
        <w:t>ABSTRACT</w:t>
      </w:r>
    </w:p>
    <w:p w:rsidR="00D13953" w:rsidRPr="00A63839" w:rsidRDefault="00D13953" w:rsidP="00D13953">
      <w:pPr>
        <w:spacing w:line="240" w:lineRule="auto"/>
        <w:jc w:val="both"/>
        <w:rPr>
          <w:sz w:val="13"/>
          <w:szCs w:val="13"/>
          <w:lang w:val="en-US"/>
        </w:rPr>
      </w:pPr>
      <w:r w:rsidRPr="00A63839">
        <w:rPr>
          <w:b/>
          <w:sz w:val="13"/>
          <w:szCs w:val="13"/>
          <w:lang w:val="en-US"/>
        </w:rPr>
        <w:t xml:space="preserve">Introduction: </w:t>
      </w:r>
      <w:r w:rsidRPr="00A63839">
        <w:rPr>
          <w:sz w:val="13"/>
          <w:szCs w:val="13"/>
          <w:lang w:val="en-US"/>
        </w:rPr>
        <w:t>The prognosis of Fournier's gangrene is directly related to adequate staging of the severity and extent of the condition.</w:t>
      </w:r>
    </w:p>
    <w:p w:rsidR="00D13953" w:rsidRPr="00A63839" w:rsidRDefault="00D13953" w:rsidP="00D13953">
      <w:pPr>
        <w:spacing w:line="240" w:lineRule="auto"/>
        <w:jc w:val="both"/>
        <w:rPr>
          <w:sz w:val="13"/>
          <w:szCs w:val="13"/>
          <w:lang w:val="en-US"/>
        </w:rPr>
      </w:pPr>
      <w:r w:rsidRPr="00A63839">
        <w:rPr>
          <w:b/>
          <w:sz w:val="13"/>
          <w:szCs w:val="13"/>
          <w:lang w:val="en-US"/>
        </w:rPr>
        <w:t>Objective:</w:t>
      </w:r>
      <w:r w:rsidRPr="00A63839">
        <w:rPr>
          <w:sz w:val="13"/>
          <w:szCs w:val="13"/>
          <w:lang w:val="en-US"/>
        </w:rPr>
        <w:t xml:space="preserve"> To validate the FGSI, UFGSI, and </w:t>
      </w:r>
      <w:proofErr w:type="spellStart"/>
      <w:r w:rsidRPr="00A63839">
        <w:rPr>
          <w:sz w:val="13"/>
          <w:szCs w:val="13"/>
          <w:lang w:val="en-US"/>
        </w:rPr>
        <w:t>sFGSI</w:t>
      </w:r>
      <w:proofErr w:type="spellEnd"/>
      <w:r w:rsidRPr="00A63839">
        <w:rPr>
          <w:sz w:val="13"/>
          <w:szCs w:val="13"/>
          <w:lang w:val="en-US"/>
        </w:rPr>
        <w:t xml:space="preserve"> prognostic severity scores for Fournier's gangrene. To compare the usefulness of each in a specific population.</w:t>
      </w:r>
    </w:p>
    <w:p w:rsidR="00D13953" w:rsidRPr="00A63839" w:rsidRDefault="00D13953" w:rsidP="00D13953">
      <w:pPr>
        <w:spacing w:line="240" w:lineRule="auto"/>
        <w:jc w:val="both"/>
        <w:rPr>
          <w:sz w:val="13"/>
          <w:szCs w:val="13"/>
          <w:lang w:val="en-US"/>
        </w:rPr>
      </w:pPr>
      <w:r w:rsidRPr="00A63839">
        <w:rPr>
          <w:b/>
          <w:sz w:val="13"/>
          <w:szCs w:val="13"/>
          <w:lang w:val="en-US"/>
        </w:rPr>
        <w:t>Design:</w:t>
      </w:r>
      <w:r w:rsidRPr="00A63839">
        <w:rPr>
          <w:sz w:val="13"/>
          <w:szCs w:val="13"/>
          <w:lang w:val="en-US"/>
        </w:rPr>
        <w:t xml:space="preserve"> Retrospective observational cohort study.</w:t>
      </w:r>
    </w:p>
    <w:p w:rsidR="00D13953" w:rsidRPr="00A63839" w:rsidRDefault="00D13953" w:rsidP="00D13953">
      <w:pPr>
        <w:spacing w:line="240" w:lineRule="auto"/>
        <w:jc w:val="both"/>
        <w:rPr>
          <w:sz w:val="13"/>
          <w:szCs w:val="13"/>
          <w:lang w:val="en-US"/>
        </w:rPr>
      </w:pPr>
      <w:r w:rsidRPr="00A63839">
        <w:rPr>
          <w:b/>
          <w:sz w:val="13"/>
          <w:szCs w:val="13"/>
          <w:lang w:val="en-US"/>
        </w:rPr>
        <w:t>Methods:</w:t>
      </w:r>
      <w:r w:rsidRPr="00A63839">
        <w:rPr>
          <w:sz w:val="13"/>
          <w:szCs w:val="13"/>
          <w:lang w:val="en-US"/>
        </w:rPr>
        <w:t xml:space="preserve"> Forty-four cases of patients diagnosed with Fournier's gangrene treated between January 2014 and April 2024 were retrospectively reviewed. The FGSI, UFGSI, and </w:t>
      </w:r>
      <w:proofErr w:type="spellStart"/>
      <w:r w:rsidRPr="00A63839">
        <w:rPr>
          <w:sz w:val="13"/>
          <w:szCs w:val="13"/>
          <w:lang w:val="en-US"/>
        </w:rPr>
        <w:t>sFGSI</w:t>
      </w:r>
      <w:proofErr w:type="spellEnd"/>
      <w:r w:rsidRPr="00A63839">
        <w:rPr>
          <w:sz w:val="13"/>
          <w:szCs w:val="13"/>
          <w:lang w:val="en-US"/>
        </w:rPr>
        <w:t xml:space="preserve"> scores were calculated in this population and compared with those published by the respective authors. The variables analyzed were age, sex, presence of diabetes, obesity, smoking, oncological diseases, cardiovascular diseases, and triggering factor. Hospital stay, requirement for intensive care, requirement for ostomy, isolated germ, and associated mortality were also analyzed. </w:t>
      </w:r>
    </w:p>
    <w:p w:rsidR="00D13953" w:rsidRPr="00A63839" w:rsidRDefault="00D13953" w:rsidP="00D13953">
      <w:pPr>
        <w:spacing w:line="240" w:lineRule="auto"/>
        <w:jc w:val="both"/>
        <w:rPr>
          <w:sz w:val="13"/>
          <w:szCs w:val="13"/>
          <w:lang w:val="en-US"/>
        </w:rPr>
      </w:pPr>
      <w:r w:rsidRPr="00A63839">
        <w:rPr>
          <w:b/>
          <w:sz w:val="13"/>
          <w:szCs w:val="13"/>
          <w:lang w:val="en-US"/>
        </w:rPr>
        <w:t>Results:</w:t>
      </w:r>
      <w:r w:rsidRPr="00A63839">
        <w:rPr>
          <w:sz w:val="13"/>
          <w:szCs w:val="13"/>
          <w:lang w:val="en-US"/>
        </w:rPr>
        <w:t xml:space="preserve"> </w:t>
      </w:r>
      <w:r w:rsidRPr="00404DE4">
        <w:rPr>
          <w:sz w:val="13"/>
          <w:szCs w:val="13"/>
          <w:lang w:val="en-US"/>
        </w:rPr>
        <w:t xml:space="preserve">The mortality rate was found to be 25%. </w:t>
      </w:r>
      <w:r w:rsidRPr="00A63839">
        <w:rPr>
          <w:sz w:val="13"/>
          <w:szCs w:val="13"/>
          <w:lang w:val="en-US"/>
        </w:rPr>
        <w:t xml:space="preserve">A statistically significant difference was observed in the mortality of patients over 60 years of age (p=0.035) and in patients with a history of cancer (p=0.028). </w:t>
      </w:r>
      <w:r w:rsidRPr="00404DE4">
        <w:rPr>
          <w:sz w:val="13"/>
          <w:szCs w:val="13"/>
          <w:lang w:val="en-US"/>
        </w:rPr>
        <w:t xml:space="preserve">The sensitivity and specificity for FGSI were 90% (95% CI: 71.4–100%) and 93.3% (95% CI: 84.5–100%), respectively. For UFGSI, the sensitivity and specificity were 100% (95% CI: 69.1–100%) and 76% (95% CI: 57.7–89.9%), respectively. For </w:t>
      </w:r>
      <w:proofErr w:type="spellStart"/>
      <w:r w:rsidRPr="00404DE4">
        <w:rPr>
          <w:sz w:val="13"/>
          <w:szCs w:val="13"/>
          <w:lang w:val="en-US"/>
        </w:rPr>
        <w:t>sFGSI</w:t>
      </w:r>
      <w:proofErr w:type="spellEnd"/>
      <w:r w:rsidRPr="00404DE4">
        <w:rPr>
          <w:sz w:val="13"/>
          <w:szCs w:val="13"/>
          <w:lang w:val="en-US"/>
        </w:rPr>
        <w:t>, the sensitivity and specificity were 80% (95% CI: 55.2–100%) and 73.3% (95% CI: 57.3–87.3%), respectively.</w:t>
      </w:r>
    </w:p>
    <w:p w:rsidR="00D13953" w:rsidRPr="00A63839" w:rsidRDefault="00D13953" w:rsidP="00D13953">
      <w:pPr>
        <w:spacing w:line="240" w:lineRule="auto"/>
        <w:jc w:val="both"/>
        <w:rPr>
          <w:sz w:val="13"/>
          <w:szCs w:val="13"/>
          <w:lang w:val="en-US"/>
        </w:rPr>
      </w:pPr>
      <w:r w:rsidRPr="00A63839">
        <w:rPr>
          <w:b/>
          <w:sz w:val="13"/>
          <w:szCs w:val="13"/>
          <w:lang w:val="en-US"/>
        </w:rPr>
        <w:t>Conclusion:</w:t>
      </w:r>
      <w:r w:rsidRPr="00A63839">
        <w:rPr>
          <w:sz w:val="13"/>
          <w:szCs w:val="13"/>
          <w:lang w:val="en-US"/>
        </w:rPr>
        <w:t xml:space="preserve"> The three scores under scrutiny were validated with statistically significant results. Patients diagnosed with Fournier's gangrene and scores greater than 9 on the FGSI and UFGSI and greater than 2 on the </w:t>
      </w:r>
      <w:proofErr w:type="spellStart"/>
      <w:r w:rsidRPr="00A63839">
        <w:rPr>
          <w:sz w:val="13"/>
          <w:szCs w:val="13"/>
          <w:lang w:val="en-US"/>
        </w:rPr>
        <w:t>sFGSI</w:t>
      </w:r>
      <w:proofErr w:type="spellEnd"/>
      <w:r w:rsidRPr="00A63839">
        <w:rPr>
          <w:sz w:val="13"/>
          <w:szCs w:val="13"/>
          <w:lang w:val="en-US"/>
        </w:rPr>
        <w:t xml:space="preserve"> were associated with high mortality rates. The UFGSI demonstrated a higher level of sensitivity in our population. The present study identified two independent risk factors for higher mortality from Fournier's gangrene: oncological pathology and age over 60 years.</w:t>
      </w:r>
    </w:p>
    <w:p w:rsidR="00D13953" w:rsidRPr="00A63839" w:rsidRDefault="00D13953" w:rsidP="00D13953">
      <w:pPr>
        <w:spacing w:line="240" w:lineRule="auto"/>
        <w:jc w:val="both"/>
        <w:rPr>
          <w:sz w:val="13"/>
          <w:szCs w:val="13"/>
          <w:lang w:val="en-US"/>
        </w:rPr>
      </w:pPr>
    </w:p>
    <w:p w:rsidR="00D13953" w:rsidRPr="00A63839" w:rsidRDefault="00D13953" w:rsidP="00D13953">
      <w:pPr>
        <w:spacing w:line="240" w:lineRule="auto"/>
        <w:jc w:val="both"/>
        <w:rPr>
          <w:i/>
          <w:sz w:val="13"/>
          <w:szCs w:val="13"/>
          <w:lang w:val="en-US"/>
        </w:rPr>
      </w:pPr>
      <w:r w:rsidRPr="00A63839">
        <w:rPr>
          <w:b/>
          <w:i/>
          <w:sz w:val="13"/>
          <w:szCs w:val="13"/>
          <w:lang w:val="en-US"/>
        </w:rPr>
        <w:t>Keywords:</w:t>
      </w:r>
      <w:r w:rsidRPr="00A63839">
        <w:rPr>
          <w:i/>
          <w:sz w:val="13"/>
          <w:szCs w:val="13"/>
          <w:lang w:val="en-US"/>
        </w:rPr>
        <w:t xml:space="preserve">  FGSI; </w:t>
      </w:r>
      <w:proofErr w:type="spellStart"/>
      <w:r w:rsidRPr="00A63839">
        <w:rPr>
          <w:i/>
          <w:sz w:val="13"/>
          <w:szCs w:val="13"/>
          <w:lang w:val="en-US"/>
        </w:rPr>
        <w:t>sFGSI</w:t>
      </w:r>
      <w:proofErr w:type="spellEnd"/>
      <w:r w:rsidRPr="00A63839">
        <w:rPr>
          <w:i/>
          <w:sz w:val="13"/>
          <w:szCs w:val="13"/>
          <w:lang w:val="en-US"/>
        </w:rPr>
        <w:t>; UFGSI; Prognostic score</w:t>
      </w:r>
    </w:p>
    <w:p w:rsidR="00666EFB" w:rsidRPr="003C2BE6" w:rsidRDefault="00666EFB" w:rsidP="003C2BE6">
      <w:pPr>
        <w:spacing w:line="240" w:lineRule="auto"/>
        <w:jc w:val="both"/>
        <w:rPr>
          <w:rFonts w:eastAsia="Times New Roman"/>
          <w:sz w:val="13"/>
          <w:szCs w:val="13"/>
          <w:lang w:val="en-US"/>
        </w:rPr>
      </w:pPr>
    </w:p>
    <w:p w:rsidR="00543375" w:rsidRPr="00BF541F" w:rsidRDefault="00D13953" w:rsidP="0042177E">
      <w:pPr>
        <w:pStyle w:val="Normal1"/>
        <w:spacing w:line="240" w:lineRule="auto"/>
        <w:jc w:val="both"/>
        <w:rPr>
          <w:b/>
          <w:sz w:val="24"/>
          <w:szCs w:val="20"/>
          <w:lang w:val="en-US"/>
        </w:rPr>
      </w:pPr>
      <w:r>
        <w:rPr>
          <w:b/>
          <w:noProof/>
          <w:sz w:val="11"/>
          <w:szCs w:val="9"/>
          <w:lang w:val="es-AR" w:eastAsia="es-AR"/>
        </w:rPr>
        <mc:AlternateContent>
          <mc:Choice Requires="wps">
            <w:drawing>
              <wp:anchor distT="0" distB="0" distL="114300" distR="114300" simplePos="0" relativeHeight="251669504" behindDoc="0" locked="0" layoutInCell="1" allowOverlap="1" wp14:anchorId="4326A350" wp14:editId="3C540CEE">
                <wp:simplePos x="0" y="0"/>
                <wp:positionH relativeFrom="margin">
                  <wp:align>right</wp:align>
                </wp:positionH>
                <wp:positionV relativeFrom="paragraph">
                  <wp:posOffset>5080</wp:posOffset>
                </wp:positionV>
                <wp:extent cx="5922645" cy="25400"/>
                <wp:effectExtent l="0" t="0" r="20955" b="317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2645" cy="25400"/>
                        </a:xfrm>
                        <a:prstGeom prst="line">
                          <a:avLst/>
                        </a:prstGeom>
                        <a:noFill/>
                        <a:ln w="9525">
                          <a:solidFill>
                            <a:srgbClr val="11B7A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6CB63" id="Conector recto 2"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5.15pt,.4pt" to="88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" strokecolor="#11b7a3">
                <w10:wrap anchorx="margin"/>
              </v:line>
            </w:pict>
          </mc:Fallback>
        </mc:AlternateContent>
      </w:r>
    </w:p>
    <w:p w:rsidR="002325C7" w:rsidRDefault="002325C7" w:rsidP="002325C7">
      <w:pPr>
        <w:spacing w:line="240" w:lineRule="auto"/>
        <w:jc w:val="both"/>
        <w:rPr>
          <w:rFonts w:ascii="Times New Roman" w:hAnsi="Times New Roman" w:cs="Times New Roman"/>
          <w:b/>
          <w:sz w:val="18"/>
          <w:szCs w:val="16"/>
          <w:lang w:val="en-US"/>
        </w:rPr>
        <w:sectPr w:rsidR="002325C7" w:rsidSect="00305A9F">
          <w:headerReference w:type="default" r:id="rId8"/>
          <w:footerReference w:type="default" r:id="rId9"/>
          <w:pgSz w:w="12240" w:h="15840"/>
          <w:pgMar w:top="1440" w:right="1440" w:bottom="1440" w:left="1440" w:header="720" w:footer="720" w:gutter="0"/>
          <w:pgNumType w:start="1"/>
          <w:cols w:space="720"/>
        </w:sectPr>
      </w:pPr>
    </w:p>
    <w:p w:rsidR="00826320" w:rsidRDefault="00826320" w:rsidP="00826320">
      <w:pPr>
        <w:spacing w:line="240" w:lineRule="auto"/>
        <w:jc w:val="both"/>
        <w:rPr>
          <w:rFonts w:ascii="Times New Roman" w:hAnsi="Times New Roman" w:cs="Times New Roman"/>
          <w:b/>
          <w:sz w:val="18"/>
          <w:szCs w:val="16"/>
          <w:lang w:val="en-US"/>
        </w:rPr>
      </w:pPr>
    </w:p>
    <w:p w:rsidR="00826320" w:rsidRPr="001943B9" w:rsidRDefault="00826320" w:rsidP="00826320">
      <w:pPr>
        <w:spacing w:line="240" w:lineRule="auto"/>
        <w:jc w:val="both"/>
        <w:rPr>
          <w:rFonts w:ascii="Times New Roman" w:hAnsi="Times New Roman" w:cs="Times New Roman"/>
          <w:b/>
          <w:sz w:val="18"/>
          <w:szCs w:val="16"/>
          <w:lang w:val="en-US"/>
        </w:rPr>
      </w:pPr>
      <w:r w:rsidRPr="001943B9">
        <w:rPr>
          <w:rFonts w:ascii="Times New Roman" w:hAnsi="Times New Roman" w:cs="Times New Roman"/>
          <w:b/>
          <w:sz w:val="18"/>
          <w:szCs w:val="16"/>
          <w:lang w:val="en-US"/>
        </w:rPr>
        <w:t>INTRODUCTION</w:t>
      </w:r>
    </w:p>
    <w:p w:rsidR="00826320" w:rsidRPr="001943B9" w:rsidRDefault="00826320" w:rsidP="00826320">
      <w:pPr>
        <w:spacing w:line="240" w:lineRule="auto"/>
        <w:jc w:val="both"/>
        <w:rPr>
          <w:rFonts w:ascii="Times New Roman" w:hAnsi="Times New Roman" w:cs="Times New Roman"/>
          <w:b/>
          <w:sz w:val="16"/>
          <w:szCs w:val="16"/>
          <w:lang w:val="en-US"/>
        </w:rPr>
      </w:pPr>
    </w:p>
    <w:p w:rsidR="00826320" w:rsidRPr="001943B9" w:rsidRDefault="00826320" w:rsidP="00826320">
      <w:pPr>
        <w:spacing w:line="240" w:lineRule="auto"/>
        <w:jc w:val="both"/>
        <w:rPr>
          <w:rFonts w:ascii="Times New Roman" w:hAnsi="Times New Roman" w:cs="Times New Roman"/>
          <w:sz w:val="16"/>
          <w:szCs w:val="16"/>
          <w:lang w:val="en-US"/>
        </w:rPr>
      </w:pPr>
      <w:r w:rsidRPr="001943B9">
        <w:rPr>
          <w:rFonts w:ascii="Times New Roman" w:hAnsi="Times New Roman" w:cs="Times New Roman"/>
          <w:sz w:val="16"/>
          <w:szCs w:val="16"/>
          <w:lang w:val="en-US"/>
        </w:rPr>
        <w:t>Fournier's gangrene is a type of necrotizing fasciitis that occurs in the perineal region and genital organs. In 95% of cases, the cause can be identified, and it may originate from a colorectal, genitourinary, or skin infection, among others.</w:t>
      </w:r>
      <w:r w:rsidRPr="001943B9">
        <w:rPr>
          <w:rFonts w:ascii="Times New Roman" w:hAnsi="Times New Roman" w:cs="Times New Roman"/>
          <w:sz w:val="16"/>
          <w:szCs w:val="16"/>
          <w:vertAlign w:val="superscript"/>
          <w:lang w:val="en-US"/>
        </w:rPr>
        <w:t>1</w:t>
      </w:r>
    </w:p>
    <w:p w:rsidR="00826320" w:rsidRPr="001943B9" w:rsidRDefault="00826320" w:rsidP="00826320">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The prognosis of the disease is closely linked with the timing of diagnosis and the therapeutic approach employed. Delayed treatment is associated with high mortality, with rates reaching up to 90%.</w:t>
      </w:r>
      <w:r w:rsidRPr="001943B9">
        <w:rPr>
          <w:rFonts w:ascii="Times New Roman" w:eastAsia="Times New Roman" w:hAnsi="Times New Roman" w:cs="Times New Roman"/>
          <w:sz w:val="16"/>
          <w:szCs w:val="16"/>
          <w:vertAlign w:val="superscript"/>
          <w:lang w:val="en-US"/>
        </w:rPr>
        <w:t>2</w:t>
      </w:r>
    </w:p>
    <w:p w:rsidR="00826320" w:rsidRPr="001943B9" w:rsidRDefault="00826320" w:rsidP="00826320">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Since the 1990s, various diagnostic and prognostic scores related to Fournier's gangrene have been developed. These were the FGSI (Fournier Gangrene Score Index) in 2004,³ the LRINEC Score (Laboratory Risk Indicator for Necrotizing Fasciitis) in 2010,⁴ the UFGSI (</w:t>
      </w:r>
      <w:proofErr w:type="spellStart"/>
      <w:r w:rsidRPr="001943B9">
        <w:rPr>
          <w:rFonts w:ascii="Times New Roman" w:eastAsia="Times New Roman" w:hAnsi="Times New Roman" w:cs="Times New Roman"/>
          <w:sz w:val="16"/>
          <w:szCs w:val="16"/>
          <w:lang w:val="en-US"/>
        </w:rPr>
        <w:t>Udulag</w:t>
      </w:r>
      <w:proofErr w:type="spellEnd"/>
      <w:r w:rsidRPr="001943B9">
        <w:rPr>
          <w:rFonts w:ascii="Times New Roman" w:eastAsia="Times New Roman" w:hAnsi="Times New Roman" w:cs="Times New Roman"/>
          <w:sz w:val="16"/>
          <w:szCs w:val="16"/>
          <w:lang w:val="en-US"/>
        </w:rPr>
        <w:t xml:space="preserve"> Fournier's Gangrene Severity Index) in 2010,⁵ and a simplification of the FGSI in 2014. Given the variety of prognostic scores associated with their varying complexity, this study proposes to validate the different scores and thus unify the use of the most sensitive and specific one for our population.</w:t>
      </w:r>
    </w:p>
    <w:p w:rsidR="00826320" w:rsidRPr="001943B9" w:rsidRDefault="00826320" w:rsidP="00826320">
      <w:pPr>
        <w:spacing w:line="240" w:lineRule="auto"/>
        <w:jc w:val="both"/>
        <w:rPr>
          <w:rFonts w:ascii="Times New Roman" w:hAnsi="Times New Roman" w:cs="Times New Roman"/>
          <w:b/>
          <w:sz w:val="16"/>
          <w:szCs w:val="16"/>
          <w:lang w:val="en-US"/>
        </w:rPr>
      </w:pPr>
      <w:r w:rsidRPr="001943B9">
        <w:rPr>
          <w:rFonts w:ascii="Times New Roman" w:hAnsi="Times New Roman" w:cs="Times New Roman"/>
          <w:sz w:val="16"/>
          <w:szCs w:val="16"/>
          <w:lang w:val="en-US"/>
        </w:rPr>
        <w:t xml:space="preserve"> </w:t>
      </w:r>
    </w:p>
    <w:p w:rsidR="00826320" w:rsidRPr="001943B9" w:rsidRDefault="00826320" w:rsidP="00826320">
      <w:pPr>
        <w:pBdr>
          <w:top w:val="nil"/>
          <w:left w:val="nil"/>
          <w:bottom w:val="nil"/>
          <w:right w:val="nil"/>
          <w:between w:val="nil"/>
        </w:pBdr>
        <w:spacing w:line="240" w:lineRule="auto"/>
        <w:jc w:val="both"/>
        <w:rPr>
          <w:rFonts w:ascii="Times New Roman" w:hAnsi="Times New Roman" w:cs="Times New Roman"/>
          <w:b/>
          <w:sz w:val="18"/>
          <w:szCs w:val="16"/>
          <w:lang w:val="en-US"/>
        </w:rPr>
      </w:pPr>
      <w:r w:rsidRPr="001943B9">
        <w:rPr>
          <w:rFonts w:ascii="Times New Roman" w:hAnsi="Times New Roman" w:cs="Times New Roman"/>
          <w:b/>
          <w:sz w:val="18"/>
          <w:szCs w:val="16"/>
          <w:lang w:val="en-US"/>
        </w:rPr>
        <w:t>MATERIALS AND METHODS</w:t>
      </w:r>
    </w:p>
    <w:p w:rsidR="00826320" w:rsidRPr="001943B9" w:rsidRDefault="00826320" w:rsidP="00826320">
      <w:pPr>
        <w:pBdr>
          <w:top w:val="nil"/>
          <w:left w:val="nil"/>
          <w:bottom w:val="nil"/>
          <w:right w:val="nil"/>
          <w:between w:val="nil"/>
        </w:pBdr>
        <w:spacing w:line="240" w:lineRule="auto"/>
        <w:jc w:val="both"/>
        <w:rPr>
          <w:rFonts w:ascii="Times New Roman" w:hAnsi="Times New Roman" w:cs="Times New Roman"/>
          <w:sz w:val="16"/>
          <w:szCs w:val="16"/>
          <w:lang w:val="en-US"/>
        </w:rPr>
      </w:pPr>
    </w:p>
    <w:p w:rsidR="00826320" w:rsidRDefault="00826320" w:rsidP="00826320">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A retrospective cohort study was conducted from January to April 2024. Patients who presented at the emergency department of our hospital with a diagnosis of Fournier's gangrene were included in the</w:t>
      </w:r>
      <w:r>
        <w:rPr>
          <w:rFonts w:ascii="Times New Roman" w:eastAsia="Times New Roman" w:hAnsi="Times New Roman" w:cs="Times New Roman"/>
          <w:sz w:val="16"/>
          <w:szCs w:val="16"/>
          <w:lang w:val="en-US"/>
        </w:rPr>
        <w:t xml:space="preserve"> </w:t>
      </w:r>
      <w:r w:rsidRPr="001943B9">
        <w:rPr>
          <w:rFonts w:ascii="Times New Roman" w:eastAsia="Times New Roman" w:hAnsi="Times New Roman" w:cs="Times New Roman"/>
          <w:sz w:val="16"/>
          <w:szCs w:val="16"/>
          <w:lang w:val="en-US"/>
        </w:rPr>
        <w:t xml:space="preserve">study. </w:t>
      </w:r>
      <w:r>
        <w:rPr>
          <w:rFonts w:ascii="Times New Roman" w:eastAsia="Times New Roman" w:hAnsi="Times New Roman" w:cs="Times New Roman"/>
          <w:sz w:val="16"/>
          <w:szCs w:val="16"/>
          <w:lang w:val="en-US"/>
        </w:rPr>
        <w:t xml:space="preserve"> </w:t>
      </w:r>
      <w:r w:rsidRPr="001943B9">
        <w:rPr>
          <w:rFonts w:ascii="Times New Roman" w:eastAsia="Times New Roman" w:hAnsi="Times New Roman" w:cs="Times New Roman"/>
          <w:sz w:val="16"/>
          <w:szCs w:val="16"/>
          <w:lang w:val="en-US"/>
        </w:rPr>
        <w:t xml:space="preserve">Those </w:t>
      </w:r>
      <w:r>
        <w:rPr>
          <w:rFonts w:ascii="Times New Roman" w:eastAsia="Times New Roman" w:hAnsi="Times New Roman" w:cs="Times New Roman"/>
          <w:sz w:val="16"/>
          <w:szCs w:val="16"/>
          <w:lang w:val="en-US"/>
        </w:rPr>
        <w:t xml:space="preserve"> </w:t>
      </w:r>
      <w:r w:rsidRPr="001943B9">
        <w:rPr>
          <w:rFonts w:ascii="Times New Roman" w:eastAsia="Times New Roman" w:hAnsi="Times New Roman" w:cs="Times New Roman"/>
          <w:sz w:val="16"/>
          <w:szCs w:val="16"/>
          <w:lang w:val="en-US"/>
        </w:rPr>
        <w:t xml:space="preserve">with incomplete care </w:t>
      </w:r>
      <w:r>
        <w:rPr>
          <w:rFonts w:ascii="Times New Roman" w:eastAsia="Times New Roman" w:hAnsi="Times New Roman" w:cs="Times New Roman"/>
          <w:sz w:val="16"/>
          <w:szCs w:val="16"/>
          <w:lang w:val="en-US"/>
        </w:rPr>
        <w:t xml:space="preserve"> </w:t>
      </w:r>
      <w:r w:rsidRPr="001943B9">
        <w:rPr>
          <w:rFonts w:ascii="Times New Roman" w:eastAsia="Times New Roman" w:hAnsi="Times New Roman" w:cs="Times New Roman"/>
          <w:sz w:val="16"/>
          <w:szCs w:val="16"/>
          <w:lang w:val="en-US"/>
        </w:rPr>
        <w:t xml:space="preserve">records or </w:t>
      </w:r>
      <w:r>
        <w:rPr>
          <w:rFonts w:ascii="Times New Roman" w:eastAsia="Times New Roman" w:hAnsi="Times New Roman" w:cs="Times New Roman"/>
          <w:sz w:val="16"/>
          <w:szCs w:val="16"/>
          <w:lang w:val="en-US"/>
        </w:rPr>
        <w:t xml:space="preserve"> </w:t>
      </w:r>
      <w:r w:rsidRPr="001943B9">
        <w:rPr>
          <w:rFonts w:ascii="Times New Roman" w:eastAsia="Times New Roman" w:hAnsi="Times New Roman" w:cs="Times New Roman"/>
          <w:sz w:val="16"/>
          <w:szCs w:val="16"/>
          <w:lang w:val="en-US"/>
        </w:rPr>
        <w:t>who</w:t>
      </w:r>
      <w:r>
        <w:rPr>
          <w:rFonts w:ascii="Times New Roman" w:eastAsia="Times New Roman" w:hAnsi="Times New Roman" w:cs="Times New Roman"/>
          <w:sz w:val="16"/>
          <w:szCs w:val="16"/>
          <w:lang w:val="en-US"/>
        </w:rPr>
        <w:t xml:space="preserve"> </w:t>
      </w:r>
      <w:r w:rsidRPr="001943B9">
        <w:rPr>
          <w:rFonts w:ascii="Times New Roman" w:eastAsia="Times New Roman" w:hAnsi="Times New Roman" w:cs="Times New Roman"/>
          <w:sz w:val="16"/>
          <w:szCs w:val="16"/>
          <w:lang w:val="en-US"/>
        </w:rPr>
        <w:t xml:space="preserve"> lacked the </w:t>
      </w:r>
    </w:p>
    <w:p w:rsidR="00826320" w:rsidRDefault="00826320" w:rsidP="00826320">
      <w:pPr>
        <w:spacing w:line="240" w:lineRule="auto"/>
        <w:jc w:val="both"/>
        <w:rPr>
          <w:rFonts w:ascii="Times New Roman" w:eastAsia="Times New Roman" w:hAnsi="Times New Roman" w:cs="Times New Roman"/>
          <w:sz w:val="16"/>
          <w:szCs w:val="16"/>
          <w:lang w:val="en-US"/>
        </w:rPr>
      </w:pPr>
    </w:p>
    <w:p w:rsidR="00826320" w:rsidRDefault="00826320" w:rsidP="00826320">
      <w:pPr>
        <w:spacing w:line="240" w:lineRule="auto"/>
        <w:jc w:val="both"/>
        <w:rPr>
          <w:rFonts w:ascii="Times New Roman" w:eastAsia="Times New Roman" w:hAnsi="Times New Roman" w:cs="Times New Roman"/>
          <w:sz w:val="16"/>
          <w:szCs w:val="16"/>
          <w:lang w:val="en-US"/>
        </w:rPr>
      </w:pPr>
    </w:p>
    <w:p w:rsidR="00826320" w:rsidRPr="001943B9" w:rsidRDefault="00826320" w:rsidP="00826320">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 xml:space="preserve">necessary data to complete the scores were excluded. To carry out the analysis, a database was created in which the FGSI, </w:t>
      </w:r>
      <w:proofErr w:type="spellStart"/>
      <w:r w:rsidRPr="001943B9">
        <w:rPr>
          <w:rFonts w:ascii="Times New Roman" w:eastAsia="Times New Roman" w:hAnsi="Times New Roman" w:cs="Times New Roman"/>
          <w:sz w:val="16"/>
          <w:szCs w:val="16"/>
          <w:lang w:val="en-US"/>
        </w:rPr>
        <w:t>sFGSI</w:t>
      </w:r>
      <w:proofErr w:type="spellEnd"/>
      <w:r w:rsidRPr="001943B9">
        <w:rPr>
          <w:rFonts w:ascii="Times New Roman" w:eastAsia="Times New Roman" w:hAnsi="Times New Roman" w:cs="Times New Roman"/>
          <w:sz w:val="16"/>
          <w:szCs w:val="16"/>
          <w:lang w:val="en-US"/>
        </w:rPr>
        <w:t>, and UFGSI scores were calculated.</w:t>
      </w:r>
    </w:p>
    <w:p w:rsidR="00826320" w:rsidRPr="001943B9" w:rsidRDefault="00826320" w:rsidP="00826320">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 xml:space="preserve">The FGSI was calculated using the following variables: temperature, heart rate, respiratory rate, serum sodium, serum potassium, serum creatinine, hematocrit, white blood cell count, and serum bicarbonate. To calculate the UFGSI, age and compromised body surface area were added to the FGSI. The latter was stratified into three groups as established by the UFGSI (Fig. 1). A value of 9 was taken as the cutoff point. The </w:t>
      </w:r>
      <w:proofErr w:type="spellStart"/>
      <w:r w:rsidRPr="001943B9">
        <w:rPr>
          <w:rFonts w:ascii="Times New Roman" w:eastAsia="Times New Roman" w:hAnsi="Times New Roman" w:cs="Times New Roman"/>
          <w:sz w:val="16"/>
          <w:szCs w:val="16"/>
          <w:lang w:val="en-US"/>
        </w:rPr>
        <w:t>sFGSI</w:t>
      </w:r>
      <w:proofErr w:type="spellEnd"/>
      <w:r w:rsidRPr="001943B9">
        <w:rPr>
          <w:rFonts w:ascii="Times New Roman" w:eastAsia="Times New Roman" w:hAnsi="Times New Roman" w:cs="Times New Roman"/>
          <w:sz w:val="16"/>
          <w:szCs w:val="16"/>
          <w:lang w:val="en-US"/>
        </w:rPr>
        <w:t xml:space="preserve"> includes only creatinine, hematocrit, and potassium. The value 2 was used as the cutoff point. Table 1 shows the scores assigned to each variable.</w:t>
      </w:r>
    </w:p>
    <w:p w:rsidR="00826320" w:rsidRDefault="00826320" w:rsidP="00826320">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 xml:space="preserve">The objective of this research is to validate the FGSI, UFGSI, and </w:t>
      </w:r>
      <w:proofErr w:type="spellStart"/>
      <w:r w:rsidRPr="001943B9">
        <w:rPr>
          <w:rFonts w:ascii="Times New Roman" w:eastAsia="Times New Roman" w:hAnsi="Times New Roman" w:cs="Times New Roman"/>
          <w:sz w:val="16"/>
          <w:szCs w:val="16"/>
          <w:lang w:val="en-US"/>
        </w:rPr>
        <w:t>sFGSI</w:t>
      </w:r>
      <w:proofErr w:type="spellEnd"/>
      <w:r w:rsidRPr="001943B9">
        <w:rPr>
          <w:rFonts w:ascii="Times New Roman" w:eastAsia="Times New Roman" w:hAnsi="Times New Roman" w:cs="Times New Roman"/>
          <w:sz w:val="16"/>
          <w:szCs w:val="16"/>
          <w:lang w:val="en-US"/>
        </w:rPr>
        <w:t xml:space="preserve"> prognostic scores for Fournier's gangrene and to analyze the usefulness of each in a specific population.</w:t>
      </w:r>
    </w:p>
    <w:p w:rsidR="00826320" w:rsidRDefault="00826320" w:rsidP="00826320">
      <w:pPr>
        <w:spacing w:line="240" w:lineRule="auto"/>
        <w:jc w:val="both"/>
        <w:rPr>
          <w:rFonts w:ascii="Times New Roman" w:eastAsia="Times New Roman" w:hAnsi="Times New Roman" w:cs="Times New Roman"/>
          <w:sz w:val="16"/>
          <w:szCs w:val="16"/>
          <w:lang w:val="en-US"/>
        </w:rPr>
      </w:pPr>
    </w:p>
    <w:p w:rsidR="00826320" w:rsidRPr="001943B9" w:rsidRDefault="00826320" w:rsidP="00826320">
      <w:pPr>
        <w:spacing w:line="240" w:lineRule="auto"/>
        <w:jc w:val="both"/>
        <w:rPr>
          <w:rFonts w:ascii="Times New Roman" w:eastAsia="Times New Roman" w:hAnsi="Times New Roman" w:cs="Times New Roman"/>
          <w:b/>
          <w:sz w:val="18"/>
          <w:szCs w:val="16"/>
          <w:lang w:val="en-US"/>
        </w:rPr>
      </w:pPr>
      <w:r w:rsidRPr="001943B9">
        <w:rPr>
          <w:rFonts w:ascii="Times New Roman" w:eastAsia="Times New Roman" w:hAnsi="Times New Roman" w:cs="Times New Roman"/>
          <w:b/>
          <w:sz w:val="18"/>
          <w:szCs w:val="16"/>
          <w:lang w:val="en-US"/>
        </w:rPr>
        <w:t>Statistical analysis</w:t>
      </w:r>
    </w:p>
    <w:p w:rsidR="00826320" w:rsidRPr="001943B9" w:rsidRDefault="00826320" w:rsidP="00826320">
      <w:pPr>
        <w:spacing w:line="240" w:lineRule="auto"/>
        <w:jc w:val="both"/>
        <w:rPr>
          <w:rFonts w:ascii="Times New Roman" w:eastAsia="Times New Roman" w:hAnsi="Times New Roman" w:cs="Times New Roman"/>
          <w:b/>
          <w:sz w:val="16"/>
          <w:szCs w:val="16"/>
          <w:lang w:val="en-US"/>
        </w:rPr>
      </w:pPr>
    </w:p>
    <w:p w:rsidR="00826320" w:rsidRPr="001943B9" w:rsidRDefault="00826320" w:rsidP="00826320">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 xml:space="preserve">The statistical analysis was conducted using </w:t>
      </w:r>
      <w:proofErr w:type="spellStart"/>
      <w:r w:rsidRPr="001943B9">
        <w:rPr>
          <w:rFonts w:ascii="Times New Roman" w:eastAsia="Times New Roman" w:hAnsi="Times New Roman" w:cs="Times New Roman"/>
          <w:sz w:val="16"/>
          <w:szCs w:val="16"/>
          <w:lang w:val="en-US"/>
        </w:rPr>
        <w:t>Statistix</w:t>
      </w:r>
      <w:proofErr w:type="spellEnd"/>
      <w:r w:rsidRPr="001943B9">
        <w:rPr>
          <w:rFonts w:ascii="MS Gothic" w:eastAsia="MS Gothic" w:hAnsi="MS Gothic" w:cs="MS Gothic" w:hint="eastAsia"/>
          <w:sz w:val="16"/>
          <w:szCs w:val="16"/>
          <w:vertAlign w:val="superscript"/>
          <w:lang w:val="en-US"/>
        </w:rPr>
        <w:t>Ⓡ</w:t>
      </w:r>
      <w:r w:rsidRPr="001943B9">
        <w:rPr>
          <w:rFonts w:ascii="Times New Roman" w:eastAsia="Times New Roman" w:hAnsi="Times New Roman" w:cs="Times New Roman"/>
          <w:sz w:val="16"/>
          <w:szCs w:val="16"/>
          <w:lang w:val="en-US"/>
        </w:rPr>
        <w:t xml:space="preserve"> version 9.0 and SPSS</w:t>
      </w:r>
      <w:r w:rsidRPr="001943B9">
        <w:rPr>
          <w:rFonts w:ascii="MS Gothic" w:eastAsia="MS Gothic" w:hAnsi="MS Gothic" w:cs="MS Gothic" w:hint="eastAsia"/>
          <w:sz w:val="16"/>
          <w:szCs w:val="16"/>
          <w:vertAlign w:val="superscript"/>
          <w:lang w:val="en-US"/>
        </w:rPr>
        <w:t>Ⓡ</w:t>
      </w:r>
      <w:r w:rsidRPr="001943B9">
        <w:rPr>
          <w:rFonts w:ascii="Times New Roman" w:eastAsia="Times New Roman" w:hAnsi="Times New Roman" w:cs="Times New Roman"/>
          <w:sz w:val="16"/>
          <w:szCs w:val="16"/>
          <w:lang w:val="en-US"/>
        </w:rPr>
        <w:t xml:space="preserve"> version 19.0. Univariate analysis for categorical variables was performed using Fisher's test, and for continuous variables using Student's t-test. For all comparisons, a p&lt;0.05 was considered statistically significant. Kaplan-Meier curves were used for survival analysis. </w:t>
      </w:r>
    </w:p>
    <w:p w:rsidR="00826320" w:rsidRDefault="00826320" w:rsidP="002325C7">
      <w:pPr>
        <w:pStyle w:val="Normal1"/>
        <w:spacing w:line="240" w:lineRule="auto"/>
        <w:jc w:val="both"/>
        <w:rPr>
          <w:sz w:val="12"/>
          <w:szCs w:val="16"/>
          <w:lang w:val="en-US"/>
        </w:rPr>
        <w:sectPr w:rsidR="00826320" w:rsidSect="00826320">
          <w:type w:val="continuous"/>
          <w:pgSz w:w="12240" w:h="15840"/>
          <w:pgMar w:top="1440" w:right="1440" w:bottom="1440" w:left="1440" w:header="720" w:footer="720" w:gutter="0"/>
          <w:pgNumType w:start="1"/>
          <w:cols w:num="2" w:space="720"/>
        </w:sectPr>
      </w:pPr>
    </w:p>
    <w:p w:rsidR="002325C7" w:rsidRDefault="002325C7" w:rsidP="002325C7">
      <w:pPr>
        <w:pStyle w:val="Normal1"/>
        <w:spacing w:line="240" w:lineRule="auto"/>
        <w:jc w:val="both"/>
        <w:rPr>
          <w:sz w:val="12"/>
          <w:szCs w:val="16"/>
          <w:lang w:val="en-US"/>
        </w:rPr>
      </w:pPr>
    </w:p>
    <w:p w:rsidR="00826320" w:rsidRDefault="00826320" w:rsidP="002325C7">
      <w:pPr>
        <w:pStyle w:val="Normal1"/>
        <w:spacing w:line="240" w:lineRule="auto"/>
        <w:jc w:val="both"/>
        <w:rPr>
          <w:sz w:val="12"/>
          <w:szCs w:val="16"/>
          <w:lang w:val="en-US"/>
        </w:rPr>
      </w:pPr>
    </w:p>
    <w:p w:rsidR="00826320" w:rsidRDefault="00826320" w:rsidP="002325C7">
      <w:pPr>
        <w:pStyle w:val="Normal1"/>
        <w:spacing w:line="240" w:lineRule="auto"/>
        <w:jc w:val="both"/>
        <w:rPr>
          <w:sz w:val="12"/>
          <w:szCs w:val="16"/>
          <w:lang w:val="en-US"/>
        </w:rPr>
      </w:pPr>
    </w:p>
    <w:p w:rsidR="00826320" w:rsidRDefault="00826320" w:rsidP="002325C7">
      <w:pPr>
        <w:pStyle w:val="Normal1"/>
        <w:spacing w:line="240" w:lineRule="auto"/>
        <w:jc w:val="both"/>
        <w:rPr>
          <w:sz w:val="12"/>
          <w:szCs w:val="16"/>
          <w:lang w:val="en-US"/>
        </w:rPr>
      </w:pPr>
    </w:p>
    <w:p w:rsidR="00826320" w:rsidRDefault="00826320" w:rsidP="002325C7">
      <w:pPr>
        <w:pStyle w:val="Normal1"/>
        <w:spacing w:line="240" w:lineRule="auto"/>
        <w:jc w:val="both"/>
        <w:rPr>
          <w:sz w:val="12"/>
          <w:szCs w:val="16"/>
          <w:lang w:val="en-US"/>
        </w:rPr>
      </w:pPr>
    </w:p>
    <w:p w:rsidR="00826320" w:rsidRDefault="00826320" w:rsidP="002325C7">
      <w:pPr>
        <w:pStyle w:val="Normal1"/>
        <w:spacing w:line="240" w:lineRule="auto"/>
        <w:jc w:val="both"/>
        <w:rPr>
          <w:sz w:val="12"/>
          <w:szCs w:val="16"/>
          <w:lang w:val="en-US"/>
        </w:rPr>
      </w:pPr>
    </w:p>
    <w:p w:rsidR="00826320" w:rsidRDefault="00826320" w:rsidP="002325C7">
      <w:pPr>
        <w:pStyle w:val="Normal1"/>
        <w:spacing w:line="240" w:lineRule="auto"/>
        <w:jc w:val="both"/>
        <w:rPr>
          <w:sz w:val="12"/>
          <w:szCs w:val="16"/>
          <w:lang w:val="en-US"/>
        </w:rPr>
      </w:pPr>
    </w:p>
    <w:p w:rsidR="00826320" w:rsidRDefault="00826320" w:rsidP="002325C7">
      <w:pPr>
        <w:pStyle w:val="Normal1"/>
        <w:spacing w:line="240" w:lineRule="auto"/>
        <w:jc w:val="both"/>
        <w:rPr>
          <w:sz w:val="12"/>
          <w:szCs w:val="16"/>
          <w:lang w:val="en-US"/>
        </w:rPr>
      </w:pPr>
    </w:p>
    <w:p w:rsidR="00826320" w:rsidRDefault="00826320" w:rsidP="002325C7">
      <w:pPr>
        <w:pStyle w:val="Normal1"/>
        <w:spacing w:line="240" w:lineRule="auto"/>
        <w:jc w:val="both"/>
        <w:rPr>
          <w:sz w:val="12"/>
          <w:szCs w:val="16"/>
          <w:lang w:val="en-US"/>
        </w:rPr>
      </w:pPr>
      <w:r>
        <w:rPr>
          <w:rFonts w:ascii="Times New Roman" w:hAnsi="Times New Roman" w:cs="Times New Roman"/>
          <w:noProof/>
          <w:sz w:val="16"/>
          <w:szCs w:val="16"/>
          <w:lang w:val="es-AR" w:eastAsia="es-AR"/>
        </w:rPr>
        <mc:AlternateContent>
          <mc:Choice Requires="wps">
            <w:drawing>
              <wp:anchor distT="0" distB="0" distL="114300" distR="114300" simplePos="0" relativeHeight="251658239" behindDoc="1" locked="0" layoutInCell="1" allowOverlap="1" wp14:anchorId="7511006E" wp14:editId="284A6131">
                <wp:simplePos x="0" y="0"/>
                <wp:positionH relativeFrom="margin">
                  <wp:align>right</wp:align>
                </wp:positionH>
                <wp:positionV relativeFrom="paragraph">
                  <wp:posOffset>42182</wp:posOffset>
                </wp:positionV>
                <wp:extent cx="5937704" cy="533400"/>
                <wp:effectExtent l="0" t="0" r="6350" b="0"/>
                <wp:wrapNone/>
                <wp:docPr id="11" name="Rectángulo 11"/>
                <wp:cNvGraphicFramePr/>
                <a:graphic xmlns:a="http://schemas.openxmlformats.org/drawingml/2006/main">
                  <a:graphicData uri="http://schemas.microsoft.com/office/word/2010/wordprocessingShape">
                    <wps:wsp>
                      <wps:cNvSpPr/>
                      <wps:spPr>
                        <a:xfrm>
                          <a:off x="0" y="0"/>
                          <a:ext cx="5937704" cy="533400"/>
                        </a:xfrm>
                        <a:prstGeom prst="rect">
                          <a:avLst/>
                        </a:prstGeom>
                        <a:solidFill>
                          <a:srgbClr val="DBEEF4"/>
                        </a:solid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23267A" id="Rectángulo 11" o:spid="_x0000_s1026" style="position:absolute;margin-left:416.35pt;margin-top:3.3pt;width:467.55pt;height:42pt;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" fillcolor="#dbeef4" stroked="f">
                <v:stroke joinstyle="round"/>
                <w10:wrap anchorx="margin"/>
              </v:rect>
            </w:pict>
          </mc:Fallback>
        </mc:AlternateContent>
      </w:r>
    </w:p>
    <w:p w:rsidR="00D13953" w:rsidRPr="002325C7" w:rsidRDefault="00853DE1" w:rsidP="00826320">
      <w:pPr>
        <w:pStyle w:val="Normal1"/>
        <w:spacing w:line="240" w:lineRule="auto"/>
        <w:ind w:firstLine="284"/>
        <w:jc w:val="both"/>
        <w:rPr>
          <w:rFonts w:ascii="Times New Roman" w:hAnsi="Times New Roman" w:cs="Times New Roman"/>
          <w:sz w:val="16"/>
          <w:szCs w:val="16"/>
          <w:lang w:val="en-US"/>
        </w:rPr>
      </w:pPr>
      <w:r w:rsidRPr="005A0EB7">
        <w:rPr>
          <w:sz w:val="12"/>
          <w:szCs w:val="16"/>
          <w:lang w:val="en-US"/>
        </w:rPr>
        <w:t>The authors declare no conflicts of interest</w:t>
      </w:r>
      <w:r w:rsidR="00826320">
        <w:rPr>
          <w:sz w:val="12"/>
          <w:szCs w:val="16"/>
          <w:lang w:val="en-US"/>
        </w:rPr>
        <w:t>.</w:t>
      </w:r>
      <w:r w:rsidRPr="005A0EB7">
        <w:rPr>
          <w:sz w:val="12"/>
          <w:szCs w:val="16"/>
          <w:lang w:val="en-US"/>
        </w:rPr>
        <w:t xml:space="preserve"> </w:t>
      </w:r>
      <w:r w:rsidR="00D13953" w:rsidRPr="00D45723">
        <w:rPr>
          <w:b/>
          <w:sz w:val="12"/>
          <w:szCs w:val="16"/>
          <w:lang w:val="en-US"/>
        </w:rPr>
        <w:t xml:space="preserve">Franco </w:t>
      </w:r>
      <w:proofErr w:type="spellStart"/>
      <w:r w:rsidR="00D13953" w:rsidRPr="00D45723">
        <w:rPr>
          <w:b/>
          <w:sz w:val="12"/>
          <w:szCs w:val="16"/>
          <w:lang w:val="en-US"/>
        </w:rPr>
        <w:t>Troilo</w:t>
      </w:r>
      <w:proofErr w:type="spellEnd"/>
      <w:r w:rsidR="00D13953" w:rsidRPr="00D45723">
        <w:rPr>
          <w:b/>
          <w:sz w:val="12"/>
          <w:szCs w:val="16"/>
          <w:lang w:val="en-US"/>
        </w:rPr>
        <w:t xml:space="preserve">: </w:t>
      </w:r>
      <w:hyperlink r:id="rId10" w:history="1">
        <w:r w:rsidR="00D13953" w:rsidRPr="00826320">
          <w:rPr>
            <w:rStyle w:val="Hipervnculo"/>
            <w:b/>
            <w:sz w:val="12"/>
            <w:szCs w:val="16"/>
            <w:u w:val="none"/>
            <w:lang w:val="en-US"/>
          </w:rPr>
          <w:t>Francotroilo.94@hotmail.com</w:t>
        </w:r>
      </w:hyperlink>
      <w:r w:rsidR="00D13953" w:rsidRPr="00D45723">
        <w:rPr>
          <w:b/>
          <w:sz w:val="12"/>
          <w:szCs w:val="16"/>
          <w:u w:val="single"/>
          <w:lang w:val="en-US"/>
        </w:rPr>
        <w:t xml:space="preserve"> </w:t>
      </w:r>
    </w:p>
    <w:p w:rsidR="002325C7" w:rsidRPr="009027C7" w:rsidRDefault="00D13953" w:rsidP="00826320">
      <w:pPr>
        <w:spacing w:line="240" w:lineRule="auto"/>
        <w:ind w:firstLine="284"/>
        <w:rPr>
          <w:rFonts w:eastAsia="Times New Roman"/>
          <w:sz w:val="12"/>
          <w:szCs w:val="16"/>
          <w:lang w:val="es-AR"/>
        </w:rPr>
      </w:pPr>
      <w:r w:rsidRPr="00D45723">
        <w:rPr>
          <w:rFonts w:eastAsia="Times New Roman"/>
          <w:sz w:val="12"/>
          <w:szCs w:val="16"/>
          <w:lang w:val="en-US"/>
        </w:rPr>
        <w:t xml:space="preserve">Received: June 10, 2025. </w:t>
      </w:r>
      <w:proofErr w:type="spellStart"/>
      <w:r w:rsidRPr="009027C7">
        <w:rPr>
          <w:rFonts w:eastAsia="Times New Roman"/>
          <w:sz w:val="12"/>
          <w:szCs w:val="16"/>
          <w:lang w:val="es-AR"/>
        </w:rPr>
        <w:t>Accepted</w:t>
      </w:r>
      <w:proofErr w:type="spellEnd"/>
      <w:r w:rsidRPr="009027C7">
        <w:rPr>
          <w:rFonts w:eastAsia="Times New Roman"/>
          <w:sz w:val="12"/>
          <w:szCs w:val="16"/>
          <w:lang w:val="es-AR"/>
        </w:rPr>
        <w:t>: August 20, 2025.</w:t>
      </w:r>
    </w:p>
    <w:p w:rsidR="002325C7" w:rsidRPr="009027C7" w:rsidRDefault="002325C7" w:rsidP="00826320">
      <w:pPr>
        <w:spacing w:line="240" w:lineRule="auto"/>
        <w:ind w:firstLine="284"/>
        <w:rPr>
          <w:rFonts w:eastAsia="Times New Roman"/>
          <w:sz w:val="12"/>
          <w:szCs w:val="16"/>
          <w:lang w:val="es-AR"/>
        </w:rPr>
      </w:pPr>
    </w:p>
    <w:p w:rsidR="002325C7" w:rsidRPr="009027C7" w:rsidRDefault="00D13953" w:rsidP="00826320">
      <w:pPr>
        <w:spacing w:line="240" w:lineRule="auto"/>
        <w:ind w:firstLine="284"/>
        <w:rPr>
          <w:rStyle w:val="Hipervnculo"/>
          <w:rFonts w:ascii="Times New Roman" w:hAnsi="Times New Roman" w:cs="Times New Roman"/>
          <w:sz w:val="10"/>
          <w:szCs w:val="16"/>
          <w:lang w:val="es-AR"/>
        </w:rPr>
      </w:pPr>
      <w:r w:rsidRPr="009027C7">
        <w:rPr>
          <w:rFonts w:ascii="Times New Roman" w:hAnsi="Times New Roman" w:cs="Times New Roman"/>
          <w:sz w:val="10"/>
          <w:szCs w:val="16"/>
          <w:lang w:val="es-AR"/>
        </w:rPr>
        <w:t xml:space="preserve">Franco Troilo: </w:t>
      </w:r>
      <w:hyperlink r:id="rId11" w:history="1">
        <w:r w:rsidRPr="009027C7">
          <w:rPr>
            <w:rStyle w:val="Hipervnculo"/>
            <w:rFonts w:ascii="Times New Roman" w:hAnsi="Times New Roman" w:cs="Times New Roman"/>
            <w:sz w:val="10"/>
            <w:szCs w:val="16"/>
            <w:lang w:val="es-AR"/>
          </w:rPr>
          <w:t>https://orcid.org/0000-0002-3740-3765</w:t>
        </w:r>
      </w:hyperlink>
      <w:r w:rsidRPr="009027C7">
        <w:rPr>
          <w:rStyle w:val="Hipervnculo"/>
          <w:rFonts w:ascii="Times New Roman" w:hAnsi="Times New Roman" w:cs="Times New Roman"/>
          <w:sz w:val="10"/>
          <w:szCs w:val="16"/>
          <w:lang w:val="es-AR"/>
        </w:rPr>
        <w:t>,</w:t>
      </w:r>
      <w:r w:rsidRPr="009027C7">
        <w:rPr>
          <w:rStyle w:val="Hipervnculo"/>
          <w:rFonts w:ascii="Times New Roman" w:hAnsi="Times New Roman" w:cs="Times New Roman"/>
          <w:sz w:val="10"/>
          <w:szCs w:val="16"/>
          <w:u w:val="none"/>
          <w:lang w:val="es-AR"/>
        </w:rPr>
        <w:t xml:space="preserve"> </w:t>
      </w:r>
      <w:r w:rsidRPr="009027C7">
        <w:rPr>
          <w:rFonts w:ascii="Times New Roman" w:hAnsi="Times New Roman" w:cs="Times New Roman"/>
          <w:sz w:val="10"/>
          <w:szCs w:val="16"/>
          <w:lang w:val="es-AR"/>
        </w:rPr>
        <w:t xml:space="preserve">Pablo </w:t>
      </w:r>
      <w:proofErr w:type="spellStart"/>
      <w:r w:rsidRPr="009027C7">
        <w:rPr>
          <w:rFonts w:ascii="Times New Roman" w:hAnsi="Times New Roman" w:cs="Times New Roman"/>
          <w:sz w:val="10"/>
          <w:szCs w:val="16"/>
          <w:lang w:val="es-AR"/>
        </w:rPr>
        <w:t>Farina</w:t>
      </w:r>
      <w:proofErr w:type="spellEnd"/>
      <w:r w:rsidRPr="009027C7">
        <w:rPr>
          <w:rFonts w:ascii="Times New Roman" w:hAnsi="Times New Roman" w:cs="Times New Roman"/>
          <w:sz w:val="10"/>
          <w:szCs w:val="16"/>
          <w:lang w:val="es-AR"/>
        </w:rPr>
        <w:t xml:space="preserve">: </w:t>
      </w:r>
      <w:hyperlink r:id="rId12" w:history="1">
        <w:r w:rsidRPr="009027C7">
          <w:rPr>
            <w:rStyle w:val="Hipervnculo"/>
            <w:rFonts w:ascii="Times New Roman" w:hAnsi="Times New Roman" w:cs="Times New Roman"/>
            <w:sz w:val="10"/>
            <w:szCs w:val="16"/>
            <w:lang w:val="es-AR"/>
          </w:rPr>
          <w:t>https://orcid.org/0000-0002-1869-1861</w:t>
        </w:r>
      </w:hyperlink>
      <w:r w:rsidRPr="009027C7">
        <w:rPr>
          <w:rStyle w:val="Hipervnculo"/>
          <w:rFonts w:ascii="Times New Roman" w:hAnsi="Times New Roman" w:cs="Times New Roman"/>
          <w:sz w:val="10"/>
          <w:szCs w:val="16"/>
          <w:lang w:val="es-AR"/>
        </w:rPr>
        <w:t>,</w:t>
      </w:r>
      <w:r w:rsidRPr="009027C7">
        <w:rPr>
          <w:rStyle w:val="Hipervnculo"/>
          <w:rFonts w:ascii="Times New Roman" w:hAnsi="Times New Roman" w:cs="Times New Roman"/>
          <w:sz w:val="10"/>
          <w:szCs w:val="16"/>
          <w:u w:val="none"/>
          <w:lang w:val="es-AR"/>
        </w:rPr>
        <w:t xml:space="preserve"> </w:t>
      </w:r>
      <w:r w:rsidRPr="009027C7">
        <w:rPr>
          <w:rFonts w:ascii="Times New Roman" w:hAnsi="Times New Roman" w:cs="Times New Roman"/>
          <w:sz w:val="10"/>
          <w:szCs w:val="16"/>
          <w:lang w:val="es-AR"/>
        </w:rPr>
        <w:t xml:space="preserve">Federico Carballo: </w:t>
      </w:r>
      <w:hyperlink r:id="rId13" w:history="1">
        <w:r w:rsidRPr="009027C7">
          <w:rPr>
            <w:rStyle w:val="Hipervnculo"/>
            <w:rFonts w:ascii="Times New Roman" w:hAnsi="Times New Roman" w:cs="Times New Roman"/>
            <w:sz w:val="10"/>
            <w:szCs w:val="16"/>
            <w:lang w:val="es-AR"/>
          </w:rPr>
          <w:t>https://orcid.org/0000-0002-8513-4715</w:t>
        </w:r>
      </w:hyperlink>
      <w:r w:rsidRPr="009027C7">
        <w:rPr>
          <w:rStyle w:val="Hipervnculo"/>
          <w:rFonts w:ascii="Times New Roman" w:hAnsi="Times New Roman" w:cs="Times New Roman"/>
          <w:sz w:val="10"/>
          <w:szCs w:val="16"/>
          <w:lang w:val="es-AR"/>
        </w:rPr>
        <w:t xml:space="preserve">, </w:t>
      </w:r>
    </w:p>
    <w:p w:rsidR="00D13953" w:rsidRPr="00826320" w:rsidRDefault="00D13953" w:rsidP="00826320">
      <w:pPr>
        <w:spacing w:line="240" w:lineRule="auto"/>
        <w:ind w:firstLine="284"/>
        <w:rPr>
          <w:rFonts w:ascii="Times New Roman" w:hAnsi="Times New Roman" w:cs="Times New Roman"/>
          <w:sz w:val="10"/>
          <w:szCs w:val="16"/>
          <w:lang w:val="es-AR"/>
        </w:rPr>
      </w:pPr>
      <w:r w:rsidRPr="00826320">
        <w:rPr>
          <w:rFonts w:ascii="Times New Roman" w:hAnsi="Times New Roman" w:cs="Times New Roman"/>
          <w:sz w:val="10"/>
          <w:szCs w:val="16"/>
          <w:lang w:val="es-AR"/>
        </w:rPr>
        <w:t xml:space="preserve">Leonardo L. </w:t>
      </w:r>
      <w:proofErr w:type="spellStart"/>
      <w:r w:rsidRPr="00826320">
        <w:rPr>
          <w:rFonts w:ascii="Times New Roman" w:hAnsi="Times New Roman" w:cs="Times New Roman"/>
          <w:sz w:val="10"/>
          <w:szCs w:val="16"/>
          <w:lang w:val="es-AR"/>
        </w:rPr>
        <w:t>Dimasi</w:t>
      </w:r>
      <w:proofErr w:type="spellEnd"/>
      <w:r w:rsidR="00826320" w:rsidRPr="00826320">
        <w:rPr>
          <w:rFonts w:ascii="Times New Roman" w:hAnsi="Times New Roman" w:cs="Times New Roman"/>
          <w:sz w:val="10"/>
          <w:szCs w:val="16"/>
          <w:lang w:val="es-AR"/>
        </w:rPr>
        <w:t>:</w:t>
      </w:r>
      <w:r w:rsidRPr="00826320">
        <w:rPr>
          <w:rFonts w:ascii="Times New Roman" w:hAnsi="Times New Roman" w:cs="Times New Roman"/>
          <w:sz w:val="10"/>
          <w:szCs w:val="16"/>
          <w:lang w:val="es-AR"/>
        </w:rPr>
        <w:t xml:space="preserve"> </w:t>
      </w:r>
      <w:hyperlink r:id="rId14" w:history="1">
        <w:r w:rsidRPr="00826320">
          <w:rPr>
            <w:rStyle w:val="Hipervnculo"/>
            <w:rFonts w:ascii="Times New Roman" w:hAnsi="Times New Roman" w:cs="Times New Roman"/>
            <w:sz w:val="10"/>
            <w:szCs w:val="16"/>
            <w:lang w:val="es-AR"/>
          </w:rPr>
          <w:t>https://orcid.org/0009-0004-9147-577X</w:t>
        </w:r>
      </w:hyperlink>
    </w:p>
    <w:p w:rsidR="008E1837" w:rsidRPr="00826320" w:rsidRDefault="008E1837" w:rsidP="00E56E21">
      <w:pPr>
        <w:pStyle w:val="Normal1"/>
        <w:spacing w:line="240" w:lineRule="auto"/>
        <w:jc w:val="both"/>
        <w:rPr>
          <w:b/>
          <w:bCs/>
          <w:sz w:val="12"/>
          <w:szCs w:val="16"/>
          <w:lang w:val="es-AR"/>
        </w:rPr>
      </w:pPr>
    </w:p>
    <w:p w:rsidR="008E1837" w:rsidRPr="00826320" w:rsidRDefault="008E1837" w:rsidP="008E1837">
      <w:pPr>
        <w:spacing w:line="240" w:lineRule="auto"/>
        <w:jc w:val="both"/>
        <w:rPr>
          <w:bCs/>
          <w:sz w:val="12"/>
          <w:szCs w:val="16"/>
          <w:lang w:val="es-AR"/>
        </w:rPr>
      </w:pPr>
      <w:r w:rsidRPr="00826320">
        <w:rPr>
          <w:sz w:val="12"/>
          <w:szCs w:val="16"/>
          <w:lang w:val="es-AR"/>
        </w:rPr>
        <w:t xml:space="preserve">         </w:t>
      </w:r>
    </w:p>
    <w:p w:rsidR="008E1837" w:rsidRPr="00826320" w:rsidRDefault="008E1837" w:rsidP="008E1837">
      <w:pPr>
        <w:spacing w:line="240" w:lineRule="auto"/>
        <w:jc w:val="both"/>
        <w:rPr>
          <w:sz w:val="12"/>
          <w:szCs w:val="16"/>
          <w:lang w:val="es-AR"/>
        </w:rPr>
      </w:pPr>
    </w:p>
    <w:p w:rsidR="008E1837" w:rsidRPr="00826320" w:rsidRDefault="008E1837" w:rsidP="008E1837">
      <w:pPr>
        <w:spacing w:line="240" w:lineRule="auto"/>
        <w:jc w:val="both"/>
        <w:rPr>
          <w:sz w:val="12"/>
          <w:szCs w:val="16"/>
          <w:lang w:val="es-AR"/>
        </w:rPr>
      </w:pPr>
    </w:p>
    <w:p w:rsidR="0024699E" w:rsidRPr="00826320" w:rsidRDefault="0024699E" w:rsidP="0024699E">
      <w:pPr>
        <w:spacing w:line="240" w:lineRule="auto"/>
        <w:jc w:val="both"/>
        <w:rPr>
          <w:rFonts w:ascii="Times New Roman" w:eastAsia="Times New Roman" w:hAnsi="Times New Roman" w:cs="Times New Roman"/>
          <w:sz w:val="16"/>
          <w:szCs w:val="16"/>
          <w:lang w:val="es-AR" w:eastAsia="es-AR"/>
        </w:rPr>
        <w:sectPr w:rsidR="0024699E" w:rsidRPr="00826320" w:rsidSect="00853DE1">
          <w:type w:val="continuous"/>
          <w:pgSz w:w="12240" w:h="15840"/>
          <w:pgMar w:top="1440" w:right="1440" w:bottom="1440" w:left="1440" w:header="720" w:footer="720" w:gutter="0"/>
          <w:pgNumType w:start="1"/>
          <w:cols w:space="720"/>
        </w:sectPr>
      </w:pPr>
    </w:p>
    <w:p w:rsidR="00A25285" w:rsidRPr="00423FFF" w:rsidRDefault="00A25285" w:rsidP="00A25285">
      <w:pPr>
        <w:shd w:val="clear" w:color="auto" w:fill="FFFFFF"/>
        <w:spacing w:line="240" w:lineRule="auto"/>
        <w:jc w:val="center"/>
        <w:rPr>
          <w:sz w:val="24"/>
          <w:szCs w:val="24"/>
          <w:lang w:val="en-US"/>
        </w:rPr>
      </w:pPr>
      <w:r w:rsidRPr="00423FFF">
        <w:rPr>
          <w:noProof/>
          <w:sz w:val="24"/>
          <w:szCs w:val="24"/>
          <w:lang w:val="es-AR" w:eastAsia="es-AR"/>
        </w:rPr>
        <w:lastRenderedPageBreak/>
        <w:drawing>
          <wp:inline distT="0" distB="0" distL="0" distR="0" wp14:anchorId="286D01BC" wp14:editId="78E856EB">
            <wp:extent cx="4146331" cy="1617778"/>
            <wp:effectExtent l="19050" t="19050" r="26035" b="20955"/>
            <wp:docPr id="14863862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86235" name="Imagen 148638623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90395" cy="1634971"/>
                    </a:xfrm>
                    <a:prstGeom prst="rect">
                      <a:avLst/>
                    </a:prstGeom>
                    <a:ln w="6350">
                      <a:solidFill>
                        <a:schemeClr val="tx1"/>
                      </a:solidFill>
                    </a:ln>
                  </pic:spPr>
                </pic:pic>
              </a:graphicData>
            </a:graphic>
          </wp:inline>
        </w:drawing>
      </w:r>
    </w:p>
    <w:p w:rsidR="00A25285" w:rsidRDefault="00A25285" w:rsidP="00A25285">
      <w:pPr>
        <w:pStyle w:val="NormalWeb"/>
        <w:spacing w:before="0" w:beforeAutospacing="0" w:after="0" w:afterAutospacing="0"/>
        <w:jc w:val="both"/>
        <w:rPr>
          <w:b/>
          <w:i/>
          <w:sz w:val="14"/>
          <w:lang w:val="en-US"/>
        </w:rPr>
      </w:pPr>
    </w:p>
    <w:p w:rsidR="00A25285" w:rsidRPr="00A25285" w:rsidRDefault="00A25285" w:rsidP="00A25285">
      <w:pPr>
        <w:pStyle w:val="NormalWeb"/>
        <w:spacing w:before="0" w:beforeAutospacing="0" w:after="0" w:afterAutospacing="0"/>
        <w:jc w:val="both"/>
        <w:rPr>
          <w:i/>
          <w:sz w:val="14"/>
          <w:lang w:val="en-US"/>
        </w:rPr>
        <w:sectPr w:rsidR="00A25285" w:rsidRPr="00A25285" w:rsidSect="00A25285">
          <w:type w:val="continuous"/>
          <w:pgSz w:w="12240" w:h="15840"/>
          <w:pgMar w:top="1440" w:right="1440" w:bottom="1440" w:left="1440" w:header="720" w:footer="720" w:gutter="0"/>
          <w:pgNumType w:start="1"/>
          <w:cols w:space="720"/>
        </w:sectPr>
      </w:pPr>
      <w:r w:rsidRPr="00380BCE">
        <w:rPr>
          <w:b/>
          <w:i/>
          <w:sz w:val="14"/>
          <w:lang w:val="en-US"/>
        </w:rPr>
        <w:t>Figure 1</w:t>
      </w:r>
      <w:r>
        <w:rPr>
          <w:b/>
          <w:i/>
          <w:sz w:val="14"/>
          <w:lang w:val="en-US"/>
        </w:rPr>
        <w:t>.</w:t>
      </w:r>
      <w:r w:rsidRPr="00380BCE">
        <w:rPr>
          <w:b/>
          <w:i/>
          <w:sz w:val="14"/>
          <w:lang w:val="en-US"/>
        </w:rPr>
        <w:t xml:space="preserve"> </w:t>
      </w:r>
      <w:r w:rsidRPr="00380BCE">
        <w:rPr>
          <w:i/>
          <w:sz w:val="14"/>
          <w:lang w:val="en-US"/>
        </w:rPr>
        <w:t xml:space="preserve">Anatomical boundaries used to classify </w:t>
      </w:r>
      <w:r>
        <w:rPr>
          <w:i/>
          <w:sz w:val="14"/>
          <w:lang w:val="en-US"/>
        </w:rPr>
        <w:t>the grade</w:t>
      </w:r>
      <w:r w:rsidRPr="00380BCE">
        <w:rPr>
          <w:i/>
          <w:sz w:val="14"/>
          <w:lang w:val="en-US"/>
        </w:rPr>
        <w:t xml:space="preserve"> of spread. </w:t>
      </w:r>
      <w:r w:rsidRPr="00380BCE">
        <w:rPr>
          <w:b/>
          <w:i/>
          <w:sz w:val="14"/>
          <w:lang w:val="en-US"/>
        </w:rPr>
        <w:t>A.</w:t>
      </w:r>
      <w:r w:rsidRPr="00380BCE">
        <w:rPr>
          <w:i/>
          <w:sz w:val="14"/>
          <w:lang w:val="en-US"/>
        </w:rPr>
        <w:t xml:space="preserve"> Anatomical surface of grade I spread. </w:t>
      </w:r>
      <w:r w:rsidRPr="00380BCE">
        <w:rPr>
          <w:b/>
          <w:i/>
          <w:sz w:val="14"/>
          <w:lang w:val="en-US"/>
        </w:rPr>
        <w:t>B.</w:t>
      </w:r>
      <w:r w:rsidRPr="00380BCE">
        <w:rPr>
          <w:i/>
          <w:sz w:val="14"/>
          <w:lang w:val="en-US"/>
        </w:rPr>
        <w:t xml:space="preserve"> Anatomical surface of grade II spread, showing a frontal view of a man and a woman. </w:t>
      </w:r>
      <w:r w:rsidRPr="00380BCE">
        <w:rPr>
          <w:b/>
          <w:i/>
          <w:sz w:val="14"/>
          <w:lang w:val="en-US"/>
        </w:rPr>
        <w:t>C.</w:t>
      </w:r>
      <w:r w:rsidRPr="00380BCE">
        <w:rPr>
          <w:i/>
          <w:sz w:val="14"/>
          <w:lang w:val="en-US"/>
        </w:rPr>
        <w:t xml:space="preserve"> Posterior view. Spread of the disease to other parts is considered grade III. The dotted lines in figures B and C show the margins of the pelvic region.</w:t>
      </w:r>
    </w:p>
    <w:p w:rsidR="00891B8B" w:rsidRDefault="00891B8B" w:rsidP="002325C7">
      <w:pPr>
        <w:spacing w:line="240" w:lineRule="auto"/>
        <w:jc w:val="both"/>
        <w:rPr>
          <w:rFonts w:ascii="Times New Roman" w:eastAsia="Times New Roman" w:hAnsi="Times New Roman" w:cs="Times New Roman"/>
          <w:sz w:val="14"/>
          <w:szCs w:val="17"/>
          <w:lang w:val="en-US"/>
        </w:rPr>
      </w:pPr>
    </w:p>
    <w:p w:rsidR="00A25285" w:rsidRDefault="00A25285" w:rsidP="002325C7">
      <w:pPr>
        <w:spacing w:line="240" w:lineRule="auto"/>
        <w:jc w:val="both"/>
        <w:rPr>
          <w:rFonts w:ascii="Times New Roman" w:eastAsia="Times New Roman" w:hAnsi="Times New Roman" w:cs="Times New Roman"/>
          <w:sz w:val="14"/>
          <w:szCs w:val="17"/>
          <w:lang w:val="en-US"/>
        </w:rPr>
      </w:pPr>
    </w:p>
    <w:p w:rsidR="00A25285" w:rsidRDefault="00A25285" w:rsidP="002325C7">
      <w:pPr>
        <w:spacing w:line="240" w:lineRule="auto"/>
        <w:jc w:val="both"/>
        <w:rPr>
          <w:rFonts w:ascii="Times New Roman" w:eastAsia="Times New Roman" w:hAnsi="Times New Roman" w:cs="Times New Roman"/>
          <w:sz w:val="14"/>
          <w:szCs w:val="17"/>
          <w:lang w:val="en-US"/>
        </w:rPr>
      </w:pPr>
    </w:p>
    <w:p w:rsidR="00A25285" w:rsidRPr="001943B9" w:rsidRDefault="00A25285" w:rsidP="00A25285">
      <w:pPr>
        <w:spacing w:line="240" w:lineRule="auto"/>
        <w:jc w:val="both"/>
        <w:rPr>
          <w:rFonts w:ascii="Times New Roman" w:hAnsi="Times New Roman" w:cs="Times New Roman"/>
          <w:b/>
          <w:sz w:val="18"/>
          <w:szCs w:val="16"/>
          <w:lang w:val="en-US"/>
        </w:rPr>
      </w:pPr>
      <w:r w:rsidRPr="001943B9">
        <w:rPr>
          <w:rFonts w:ascii="Times New Roman" w:hAnsi="Times New Roman" w:cs="Times New Roman"/>
          <w:b/>
          <w:sz w:val="18"/>
          <w:szCs w:val="16"/>
          <w:lang w:val="en-US"/>
        </w:rPr>
        <w:t>RESULTS</w:t>
      </w:r>
    </w:p>
    <w:p w:rsidR="00A25285" w:rsidRPr="001943B9" w:rsidRDefault="00A25285" w:rsidP="00A25285">
      <w:pPr>
        <w:spacing w:line="240" w:lineRule="auto"/>
        <w:jc w:val="both"/>
        <w:rPr>
          <w:rFonts w:ascii="Times New Roman" w:hAnsi="Times New Roman" w:cs="Times New Roman"/>
          <w:b/>
          <w:sz w:val="16"/>
          <w:szCs w:val="16"/>
          <w:lang w:val="en-US"/>
        </w:rPr>
      </w:pPr>
    </w:p>
    <w:p w:rsidR="00A25285" w:rsidRPr="001943B9" w:rsidRDefault="00A25285" w:rsidP="00A25285">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Of the total 44 patients diagnosed with Fournier's gangrene, 4 were excluded due to incomplete records. The analysis included a total of 40 patients, of whom 30 were male (75%). Forty percent of the women and 53.3% of the men were over 60 years of age. The mean age of the sample was 58 years (95% CI: 52.6–63.3), with a median age of 59 years (range: 16–78 years). The mean length of stay was 16.8 days (95% CI: 13.08–20.51), ranging from a minimum of three days to a maximum of 65 days.</w:t>
      </w:r>
    </w:p>
    <w:p w:rsidR="00A25285" w:rsidRPr="001943B9" w:rsidRDefault="00A25285" w:rsidP="00A25285">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The most prevalent comorbidities and risk factors included diabetes (55%, n = 22), age ≥ 60 years (50%, n = 20), cardiovascular disease (47.5%, n = 19), obesity (45%, n = 18), smoking (45%, n = 18), and cancer (22.5%, n = 9). Only one patient had HIV, and only one had HCV.</w:t>
      </w:r>
    </w:p>
    <w:p w:rsidR="00A25285" w:rsidRPr="001943B9" w:rsidRDefault="00A25285" w:rsidP="00A25285">
      <w:pPr>
        <w:pBdr>
          <w:top w:val="nil"/>
          <w:left w:val="nil"/>
          <w:bottom w:val="nil"/>
          <w:right w:val="nil"/>
          <w:between w:val="nil"/>
        </w:pBdr>
        <w:spacing w:line="240" w:lineRule="auto"/>
        <w:jc w:val="both"/>
        <w:rPr>
          <w:rFonts w:ascii="Times New Roman" w:hAnsi="Times New Roman" w:cs="Times New Roman"/>
          <w:sz w:val="16"/>
          <w:szCs w:val="16"/>
          <w:lang w:val="en-US"/>
        </w:rPr>
      </w:pPr>
      <w:r w:rsidRPr="001943B9">
        <w:rPr>
          <w:rFonts w:ascii="Times New Roman" w:eastAsia="Times New Roman" w:hAnsi="Times New Roman" w:cs="Times New Roman"/>
          <w:sz w:val="16"/>
          <w:szCs w:val="16"/>
          <w:lang w:val="en-US"/>
        </w:rPr>
        <w:t xml:space="preserve">Among the triggering factors, 60% were perianal lesions (n=24); 15% were oncological conditions (n=6: 5 rectal cancers and 1 endometrial cancer); and 12.5% ​​were perineal trauma (n=5). Furthermore, 2 cases were associated with sacral pressure ulcer (5%), and 2 others occurred after gynecological or obstetric postoperative complications (5%), including one complication of total abdominal hysterectomy with bilateral </w:t>
      </w:r>
      <w:proofErr w:type="spellStart"/>
      <w:r w:rsidRPr="001943B9">
        <w:rPr>
          <w:rFonts w:ascii="Times New Roman" w:eastAsia="Times New Roman" w:hAnsi="Times New Roman" w:cs="Times New Roman"/>
          <w:sz w:val="16"/>
          <w:szCs w:val="16"/>
          <w:lang w:val="en-US"/>
        </w:rPr>
        <w:t>salpingo</w:t>
      </w:r>
      <w:proofErr w:type="spellEnd"/>
      <w:r w:rsidRPr="001943B9">
        <w:rPr>
          <w:rFonts w:ascii="Times New Roman" w:eastAsia="Times New Roman" w:hAnsi="Times New Roman" w:cs="Times New Roman"/>
          <w:sz w:val="16"/>
          <w:szCs w:val="16"/>
          <w:lang w:val="en-US"/>
        </w:rPr>
        <w:t>-oophorectomy and one of episiotomy. Finally, one case was associated with osteomyelitis, with a prevalence of 2.5%.</w:t>
      </w:r>
    </w:p>
    <w:p w:rsidR="00A25285" w:rsidRPr="001943B9" w:rsidRDefault="00A25285" w:rsidP="00A25285">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The extent of gangrene was classified by grades using the UFGSI classification system. Of the patients, 47.5% had grade I gangrene (n = 19; 5 women and 14 men), 30% had grade II gangrene (n = 12; 1 woman and 11 men), and 22.5% had grade III gangrene (n = 9; 4 women and 5 men). Specifically, 50% of women and 46.7% of men had grade I gangrene, 10% of women and 36.7% of men had grade II gangrene, and 40% of women and 16.7% of men had grade III gangrene (Table 2).</w:t>
      </w:r>
    </w:p>
    <w:p w:rsidR="00A25285" w:rsidRPr="001943B9" w:rsidRDefault="00A25285" w:rsidP="00A25285">
      <w:pPr>
        <w:pStyle w:val="NormalWeb"/>
        <w:spacing w:before="0" w:beforeAutospacing="0" w:after="0" w:afterAutospacing="0"/>
        <w:jc w:val="both"/>
        <w:rPr>
          <w:sz w:val="16"/>
          <w:szCs w:val="16"/>
          <w:lang w:val="en-US" w:eastAsia="es-AR"/>
        </w:rPr>
      </w:pPr>
      <w:r w:rsidRPr="001943B9">
        <w:rPr>
          <w:sz w:val="16"/>
          <w:szCs w:val="16"/>
          <w:lang w:val="en-US"/>
        </w:rPr>
        <w:t xml:space="preserve">Cultures were obtained from 75% of patients. The isolation of </w:t>
      </w:r>
      <w:r w:rsidRPr="001943B9">
        <w:rPr>
          <w:i/>
          <w:sz w:val="16"/>
          <w:szCs w:val="16"/>
          <w:lang w:val="en-US"/>
        </w:rPr>
        <w:t>Escherichia coli</w:t>
      </w:r>
      <w:r w:rsidRPr="001943B9">
        <w:rPr>
          <w:sz w:val="16"/>
          <w:szCs w:val="16"/>
          <w:lang w:val="en-US"/>
        </w:rPr>
        <w:t xml:space="preserve"> was documented in 19 cases, </w:t>
      </w:r>
      <w:r w:rsidRPr="001943B9">
        <w:rPr>
          <w:i/>
          <w:sz w:val="16"/>
          <w:szCs w:val="16"/>
          <w:lang w:val="en-US"/>
        </w:rPr>
        <w:t>Candida albicans</w:t>
      </w:r>
      <w:r w:rsidRPr="001943B9">
        <w:rPr>
          <w:sz w:val="16"/>
          <w:szCs w:val="16"/>
          <w:lang w:val="en-US"/>
        </w:rPr>
        <w:t xml:space="preserve"> in 3 cases, and </w:t>
      </w:r>
      <w:r w:rsidRPr="001943B9">
        <w:rPr>
          <w:i/>
          <w:sz w:val="16"/>
          <w:szCs w:val="16"/>
          <w:lang w:val="en-US"/>
        </w:rPr>
        <w:t xml:space="preserve">Acinetobacter spp. </w:t>
      </w:r>
      <w:r w:rsidRPr="001943B9">
        <w:rPr>
          <w:sz w:val="16"/>
          <w:szCs w:val="16"/>
          <w:lang w:val="en-US"/>
        </w:rPr>
        <w:t xml:space="preserve">in 3 cases. </w:t>
      </w:r>
      <w:r w:rsidRPr="001943B9">
        <w:rPr>
          <w:sz w:val="16"/>
          <w:szCs w:val="16"/>
          <w:lang w:val="en-US" w:eastAsia="es-AR"/>
        </w:rPr>
        <w:t xml:space="preserve">There were occasional reports of </w:t>
      </w:r>
      <w:r w:rsidRPr="001943B9">
        <w:rPr>
          <w:i/>
          <w:sz w:val="16"/>
          <w:szCs w:val="16"/>
          <w:lang w:val="en-US" w:eastAsia="es-AR"/>
        </w:rPr>
        <w:t>Klebsiella pneumoniae, Proteus spp.,</w:t>
      </w:r>
      <w:r w:rsidRPr="001943B9">
        <w:rPr>
          <w:sz w:val="16"/>
          <w:szCs w:val="16"/>
          <w:lang w:val="en-US" w:eastAsia="es-AR"/>
        </w:rPr>
        <w:t xml:space="preserve"> and </w:t>
      </w:r>
      <w:r w:rsidRPr="001943B9">
        <w:rPr>
          <w:i/>
          <w:sz w:val="16"/>
          <w:szCs w:val="16"/>
          <w:lang w:val="en-US" w:eastAsia="es-AR"/>
        </w:rPr>
        <w:t>Staphylococcus aureus</w:t>
      </w:r>
      <w:r w:rsidRPr="001943B9">
        <w:rPr>
          <w:sz w:val="16"/>
          <w:szCs w:val="16"/>
          <w:lang w:val="en-US" w:eastAsia="es-AR"/>
        </w:rPr>
        <w:t>.</w:t>
      </w:r>
    </w:p>
    <w:p w:rsidR="0076286F" w:rsidRDefault="00A25285" w:rsidP="00A25285">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 xml:space="preserve">A total of 47.5% (n = 19) of patients required admission to the intensive care unit (ICU), and 42% (n = 8) of those patients died. </w:t>
      </w:r>
    </w:p>
    <w:p w:rsidR="00A25285" w:rsidRPr="001943B9" w:rsidRDefault="00A25285" w:rsidP="00A25285">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The need for ICU admission was associated with higher mortality (OR: 6.9; 95% CI: 1.23–38.46). Thirty-five percent of patients (n = 14) required a diversion ostomy, and half of them died (OR: 7.66; 95% CI: 1.56–37.8).</w:t>
      </w: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76286F" w:rsidP="00A25285">
      <w:pPr>
        <w:spacing w:line="240" w:lineRule="auto"/>
        <w:jc w:val="both"/>
        <w:rPr>
          <w:rFonts w:ascii="Times New Roman" w:eastAsia="Times New Roman" w:hAnsi="Times New Roman" w:cs="Times New Roman"/>
          <w:sz w:val="16"/>
          <w:szCs w:val="16"/>
          <w:lang w:val="en-US"/>
        </w:rPr>
      </w:pPr>
    </w:p>
    <w:p w:rsidR="0076286F" w:rsidRDefault="00A25285" w:rsidP="00A25285">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 xml:space="preserve">The overall mortality rate associated with Fournier's gangrene was 25% (n=10; 95% CI: 10.3-39.6%), affecting 4 women (40% of all women) and 6 men (20% of all men). The mortality rate among diabetic patients was 22.4% (OR: 1.31; 95% CI: 0.31–5.62), and it was 19% among patients with cardiovascular disease (OR: 1.96; 95% CI: 0.46–8.41). There was no statistically significant difference between the two groups. The mortality rate in patients over 60 years </w:t>
      </w:r>
    </w:p>
    <w:p w:rsidR="00A25285" w:rsidRPr="001943B9" w:rsidRDefault="00A25285" w:rsidP="00A25285">
      <w:pPr>
        <w:spacing w:line="240" w:lineRule="auto"/>
        <w:jc w:val="both"/>
        <w:rPr>
          <w:rFonts w:ascii="Times New Roman" w:eastAsia="Times New Roman" w:hAnsi="Times New Roman" w:cs="Times New Roman"/>
          <w:sz w:val="16"/>
          <w:szCs w:val="16"/>
          <w:lang w:val="en-US"/>
        </w:rPr>
      </w:pPr>
      <w:r w:rsidRPr="001943B9">
        <w:rPr>
          <w:rFonts w:ascii="Times New Roman" w:eastAsia="Times New Roman" w:hAnsi="Times New Roman" w:cs="Times New Roman"/>
          <w:sz w:val="16"/>
          <w:szCs w:val="16"/>
          <w:lang w:val="en-US"/>
        </w:rPr>
        <w:t>of age was 45% (OR: 15.54; 95% CI: 1.63–139.42; p=0.0035), while in those with associated oncological diseases it was 55.6% (OR: 6.5; 95% CI: 1.23–33.04; p=0.0286). The study found no association between obesity or smoking and mortality. Of the total number of patients, 62.5% had at least three risk factors, with a mortality rate of 32% (7 patients were over 60 years of age, 6 were diabetic, 3 were obese, 6 had cardiovascular disease, 3 had cancer, and 1was a smoker).</w:t>
      </w:r>
    </w:p>
    <w:p w:rsidR="00A25285" w:rsidRPr="001943B9" w:rsidRDefault="00A25285" w:rsidP="00A25285">
      <w:pPr>
        <w:pStyle w:val="NormalWeb"/>
        <w:spacing w:before="0" w:beforeAutospacing="0" w:after="0" w:afterAutospacing="0"/>
        <w:jc w:val="both"/>
        <w:rPr>
          <w:sz w:val="16"/>
          <w:szCs w:val="16"/>
          <w:lang w:val="en-US"/>
        </w:rPr>
      </w:pPr>
      <w:r w:rsidRPr="001943B9">
        <w:rPr>
          <w:sz w:val="16"/>
          <w:szCs w:val="16"/>
          <w:lang w:val="en-US"/>
        </w:rPr>
        <w:t>When the cohort was analyzed according to the FGSI, 27.5% of patients had a score greater than 9. These patients had an 81.8% mortality rate, compared to a 3.4% mortality rate among patients with a &lt;9 (p&lt;0.001). Seventy-two percent of patients with a score &gt;9 required ICU admission. The FGSI demonstrated 90% sensitivity (95% CI: 71.4%-100%) and 93.3% specificity (95% CI: 84.5%-100%).</w:t>
      </w:r>
    </w:p>
    <w:p w:rsidR="00A25285" w:rsidRPr="001943B9" w:rsidRDefault="00A25285" w:rsidP="00A25285">
      <w:pPr>
        <w:pStyle w:val="NormalWeb"/>
        <w:spacing w:before="0" w:beforeAutospacing="0" w:after="0" w:afterAutospacing="0"/>
        <w:jc w:val="both"/>
        <w:rPr>
          <w:sz w:val="16"/>
          <w:szCs w:val="16"/>
          <w:lang w:val="en-US"/>
        </w:rPr>
      </w:pPr>
      <w:r w:rsidRPr="001943B9">
        <w:rPr>
          <w:sz w:val="16"/>
          <w:szCs w:val="16"/>
          <w:lang w:val="en-US"/>
        </w:rPr>
        <w:t xml:space="preserve">Applying the </w:t>
      </w:r>
      <w:proofErr w:type="spellStart"/>
      <w:r w:rsidRPr="001943B9">
        <w:rPr>
          <w:sz w:val="16"/>
          <w:szCs w:val="16"/>
          <w:lang w:val="en-US"/>
        </w:rPr>
        <w:t>sFGSI</w:t>
      </w:r>
      <w:proofErr w:type="spellEnd"/>
      <w:r w:rsidRPr="001943B9">
        <w:rPr>
          <w:sz w:val="16"/>
          <w:szCs w:val="16"/>
          <w:lang w:val="en-US"/>
        </w:rPr>
        <w:t xml:space="preserve"> with a cutoff point of 2 revealed that 40% of patients had a score &gt;2. These patients had a mortality rate of 50%, compared to 8.3% for those with a score ≤2 (p&lt;0.0068). Among patients with a score &gt;2, 68.8% required ICU admission. The </w:t>
      </w:r>
      <w:proofErr w:type="spellStart"/>
      <w:r w:rsidRPr="001943B9">
        <w:rPr>
          <w:sz w:val="16"/>
          <w:szCs w:val="16"/>
          <w:lang w:val="en-US"/>
        </w:rPr>
        <w:t>sFGSI</w:t>
      </w:r>
      <w:proofErr w:type="spellEnd"/>
      <w:r w:rsidRPr="001943B9">
        <w:rPr>
          <w:sz w:val="16"/>
          <w:szCs w:val="16"/>
          <w:lang w:val="en-US"/>
        </w:rPr>
        <w:t xml:space="preserve"> demonstrated 80% sensitivity (95% CI: 55.2%-100%) and 73.3% specificity (95% CI: 57.3%-87.3%).</w:t>
      </w:r>
    </w:p>
    <w:p w:rsidR="00A25285" w:rsidRPr="001943B9" w:rsidRDefault="00A25285" w:rsidP="00A25285">
      <w:pPr>
        <w:pStyle w:val="NormalWeb"/>
        <w:spacing w:before="0" w:beforeAutospacing="0" w:after="0" w:afterAutospacing="0"/>
        <w:jc w:val="both"/>
        <w:rPr>
          <w:sz w:val="16"/>
          <w:szCs w:val="16"/>
          <w:lang w:val="en-US"/>
        </w:rPr>
      </w:pPr>
      <w:r w:rsidRPr="001943B9">
        <w:rPr>
          <w:sz w:val="16"/>
          <w:szCs w:val="16"/>
          <w:lang w:val="en-US"/>
        </w:rPr>
        <w:t>According to the UFGSI, 42.5% of patients had a score &gt;9. These patients had a mortality rate of 58.8%, compared to 0% for patients with a score of ≤9 (p&lt;0.001). Among patients with a score &gt;9, 76.5% required admission to the ICU. All patients with a score ≤9 survived. The UFGSI demonstrated a sensitivity of 100% (95% CI: 69.1-100%) and a specificity of 76.0% (95% CI: 57.7-89.9%). The application of each score is illustrated in Fig. 2.</w:t>
      </w:r>
    </w:p>
    <w:p w:rsidR="00A25285" w:rsidRDefault="00A25285" w:rsidP="00A25285">
      <w:pPr>
        <w:pStyle w:val="NormalWeb"/>
        <w:spacing w:before="0" w:beforeAutospacing="0" w:after="0" w:afterAutospacing="0"/>
        <w:jc w:val="both"/>
        <w:rPr>
          <w:sz w:val="16"/>
          <w:szCs w:val="16"/>
          <w:lang w:val="en-US"/>
        </w:rPr>
      </w:pPr>
      <w:r w:rsidRPr="001943B9">
        <w:rPr>
          <w:sz w:val="16"/>
          <w:szCs w:val="16"/>
          <w:lang w:val="en-US"/>
        </w:rPr>
        <w:t>The survival analysis of our population revealed that half of the deaths occurred before the tenth day of hospitalization and that 75% of patients were alive at day 30 (Fig. 3).</w:t>
      </w: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A25285">
      <w:pPr>
        <w:pStyle w:val="NormalWeb"/>
        <w:spacing w:before="0" w:beforeAutospacing="0" w:after="0" w:afterAutospacing="0"/>
        <w:jc w:val="both"/>
        <w:rPr>
          <w:sz w:val="16"/>
          <w:szCs w:val="16"/>
          <w:lang w:val="en-US"/>
        </w:rPr>
      </w:pPr>
    </w:p>
    <w:p w:rsidR="00F35F1D" w:rsidRDefault="00F35F1D" w:rsidP="00F35F1D">
      <w:pPr>
        <w:shd w:val="clear" w:color="auto" w:fill="FFFFFF"/>
        <w:spacing w:line="240" w:lineRule="auto"/>
        <w:jc w:val="both"/>
        <w:rPr>
          <w:rFonts w:ascii="Times New Roman" w:hAnsi="Times New Roman" w:cs="Times New Roman"/>
          <w:b/>
          <w:i/>
          <w:sz w:val="14"/>
          <w:szCs w:val="24"/>
          <w:lang w:val="en-US"/>
        </w:rPr>
        <w:sectPr w:rsidR="00F35F1D" w:rsidSect="002325C7">
          <w:type w:val="continuous"/>
          <w:pgSz w:w="12240" w:h="15840"/>
          <w:pgMar w:top="1440" w:right="1440" w:bottom="1440" w:left="1440" w:header="720" w:footer="720" w:gutter="0"/>
          <w:pgNumType w:start="1"/>
          <w:cols w:num="2" w:space="720"/>
        </w:sectPr>
      </w:pPr>
    </w:p>
    <w:p w:rsidR="00F35F1D" w:rsidRDefault="00F35F1D" w:rsidP="00A25285">
      <w:pPr>
        <w:pStyle w:val="NormalWeb"/>
        <w:spacing w:before="0" w:beforeAutospacing="0" w:after="0" w:afterAutospacing="0"/>
        <w:jc w:val="both"/>
        <w:rPr>
          <w:sz w:val="16"/>
          <w:szCs w:val="16"/>
          <w:lang w:val="en-US"/>
        </w:rPr>
        <w:sectPr w:rsidR="00F35F1D" w:rsidSect="00F35F1D">
          <w:type w:val="continuous"/>
          <w:pgSz w:w="12240" w:h="15840"/>
          <w:pgMar w:top="1440" w:right="1440" w:bottom="1440" w:left="1440" w:header="720" w:footer="720" w:gutter="0"/>
          <w:pgNumType w:start="1"/>
          <w:cols w:space="720"/>
        </w:sectPr>
      </w:pPr>
    </w:p>
    <w:p w:rsidR="00F60826" w:rsidRPr="00D51F20" w:rsidRDefault="00F60826" w:rsidP="00F60826">
      <w:pPr>
        <w:shd w:val="clear" w:color="auto" w:fill="FFFFFF"/>
        <w:spacing w:line="240" w:lineRule="auto"/>
        <w:jc w:val="center"/>
        <w:rPr>
          <w:rFonts w:ascii="Times New Roman" w:hAnsi="Times New Roman" w:cs="Times New Roman"/>
          <w:i/>
          <w:sz w:val="14"/>
          <w:szCs w:val="24"/>
          <w:lang w:val="en-US"/>
        </w:rPr>
      </w:pPr>
      <w:r w:rsidRPr="00D51F20">
        <w:rPr>
          <w:rFonts w:ascii="Times New Roman" w:hAnsi="Times New Roman" w:cs="Times New Roman"/>
          <w:b/>
          <w:i/>
          <w:sz w:val="14"/>
          <w:szCs w:val="24"/>
          <w:lang w:val="en-US"/>
        </w:rPr>
        <w:lastRenderedPageBreak/>
        <w:t>Table</w:t>
      </w:r>
      <w:r>
        <w:rPr>
          <w:rFonts w:ascii="Times New Roman" w:hAnsi="Times New Roman" w:cs="Times New Roman"/>
          <w:b/>
          <w:i/>
          <w:sz w:val="14"/>
          <w:szCs w:val="24"/>
          <w:lang w:val="en-US"/>
        </w:rPr>
        <w:t xml:space="preserve"> </w:t>
      </w:r>
      <w:r w:rsidRPr="00D51F20">
        <w:rPr>
          <w:rFonts w:ascii="Times New Roman" w:hAnsi="Times New Roman" w:cs="Times New Roman"/>
          <w:b/>
          <w:i/>
          <w:sz w:val="14"/>
          <w:szCs w:val="24"/>
          <w:lang w:val="en-US"/>
        </w:rPr>
        <w:t>1.</w:t>
      </w:r>
      <w:r w:rsidRPr="00D51F20">
        <w:rPr>
          <w:rFonts w:ascii="Times New Roman" w:hAnsi="Times New Roman" w:cs="Times New Roman"/>
          <w:i/>
          <w:sz w:val="14"/>
          <w:szCs w:val="24"/>
          <w:lang w:val="en-US"/>
        </w:rPr>
        <w:t xml:space="preserve"> Variables that determine each score.</w:t>
      </w:r>
    </w:p>
    <w:p w:rsidR="00F60826" w:rsidRPr="00783E12" w:rsidRDefault="00F60826" w:rsidP="00F60826">
      <w:pPr>
        <w:shd w:val="clear" w:color="auto" w:fill="FFFFFF"/>
        <w:spacing w:line="240" w:lineRule="auto"/>
        <w:jc w:val="both"/>
        <w:rPr>
          <w:sz w:val="24"/>
          <w:szCs w:val="24"/>
          <w:lang w:val="en-US"/>
        </w:rPr>
      </w:pPr>
    </w:p>
    <w:tbl>
      <w:tblPr>
        <w:tblW w:w="5000" w:type="pct"/>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left w:w="70" w:type="dxa"/>
          <w:right w:w="70" w:type="dxa"/>
        </w:tblCellMar>
        <w:tblLook w:val="04A0" w:firstRow="1" w:lastRow="0" w:firstColumn="1" w:lastColumn="0" w:noHBand="0" w:noVBand="1"/>
      </w:tblPr>
      <w:tblGrid>
        <w:gridCol w:w="2408"/>
        <w:gridCol w:w="748"/>
        <w:gridCol w:w="759"/>
        <w:gridCol w:w="759"/>
        <w:gridCol w:w="843"/>
        <w:gridCol w:w="847"/>
        <w:gridCol w:w="716"/>
        <w:gridCol w:w="759"/>
        <w:gridCol w:w="759"/>
        <w:gridCol w:w="752"/>
      </w:tblGrid>
      <w:tr w:rsidR="00F60826" w:rsidRPr="00224877" w:rsidTr="00224877">
        <w:trPr>
          <w:trHeight w:val="300"/>
        </w:trPr>
        <w:tc>
          <w:tcPr>
            <w:tcW w:w="1287" w:type="pct"/>
            <w:tcBorders>
              <w:top w:val="single" w:sz="4" w:space="0" w:color="B6DDE8" w:themeColor="accent5" w:themeTint="66"/>
              <w:left w:val="single" w:sz="4" w:space="0" w:color="92CDDC"/>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FGSI</w:t>
            </w:r>
          </w:p>
        </w:tc>
        <w:tc>
          <w:tcPr>
            <w:tcW w:w="400" w:type="pct"/>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High +4</w:t>
            </w:r>
          </w:p>
        </w:tc>
        <w:tc>
          <w:tcPr>
            <w:tcW w:w="406" w:type="pct"/>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High +3</w:t>
            </w:r>
          </w:p>
        </w:tc>
        <w:tc>
          <w:tcPr>
            <w:tcW w:w="406" w:type="pct"/>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High +2</w:t>
            </w:r>
          </w:p>
        </w:tc>
        <w:tc>
          <w:tcPr>
            <w:tcW w:w="451" w:type="pct"/>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High +1</w:t>
            </w:r>
          </w:p>
        </w:tc>
        <w:tc>
          <w:tcPr>
            <w:tcW w:w="453" w:type="pct"/>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Normal 0</w:t>
            </w:r>
          </w:p>
        </w:tc>
        <w:tc>
          <w:tcPr>
            <w:tcW w:w="383" w:type="pct"/>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Low +1</w:t>
            </w:r>
          </w:p>
        </w:tc>
        <w:tc>
          <w:tcPr>
            <w:tcW w:w="406" w:type="pct"/>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Low +2</w:t>
            </w:r>
          </w:p>
        </w:tc>
        <w:tc>
          <w:tcPr>
            <w:tcW w:w="406" w:type="pct"/>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Low +3</w:t>
            </w:r>
          </w:p>
        </w:tc>
        <w:tc>
          <w:tcPr>
            <w:tcW w:w="402" w:type="pct"/>
            <w:tcBorders>
              <w:top w:val="single" w:sz="4" w:space="0" w:color="B6DDE8" w:themeColor="accent5" w:themeTint="66"/>
              <w:left w:val="single" w:sz="4" w:space="0" w:color="B6DDE8" w:themeColor="accent5" w:themeTint="66"/>
              <w:bottom w:val="nil"/>
              <w:right w:val="single" w:sz="4" w:space="0" w:color="92CDDC"/>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Low +4</w:t>
            </w:r>
          </w:p>
        </w:tc>
      </w:tr>
      <w:tr w:rsidR="00F60826" w:rsidRPr="00224877" w:rsidTr="00224877">
        <w:trPr>
          <w:trHeight w:val="300"/>
        </w:trPr>
        <w:tc>
          <w:tcPr>
            <w:tcW w:w="1287" w:type="pct"/>
            <w:tcBorders>
              <w:top w:val="nil"/>
            </w:tcBorders>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Temperature</w:t>
            </w:r>
            <w:proofErr w:type="spellEnd"/>
            <w:r w:rsidRPr="00224877">
              <w:rPr>
                <w:rFonts w:ascii="Times New Roman" w:eastAsia="Times New Roman" w:hAnsi="Times New Roman" w:cs="Times New Roman"/>
                <w:color w:val="000000"/>
                <w:sz w:val="14"/>
                <w:szCs w:val="14"/>
                <w:lang w:val="es-AR" w:eastAsia="es-MX"/>
              </w:rPr>
              <w:t xml:space="preserve"> (°C)</w:t>
            </w:r>
          </w:p>
        </w:tc>
        <w:tc>
          <w:tcPr>
            <w:tcW w:w="400"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≥41.0</w:t>
            </w:r>
          </w:p>
        </w:tc>
        <w:tc>
          <w:tcPr>
            <w:tcW w:w="406"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39–40.9</w:t>
            </w:r>
          </w:p>
        </w:tc>
        <w:tc>
          <w:tcPr>
            <w:tcW w:w="406"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38.5–38.9</w:t>
            </w:r>
          </w:p>
        </w:tc>
        <w:tc>
          <w:tcPr>
            <w:tcW w:w="453"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36–38.4</w:t>
            </w:r>
          </w:p>
        </w:tc>
        <w:tc>
          <w:tcPr>
            <w:tcW w:w="383"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34–35.9</w:t>
            </w:r>
          </w:p>
        </w:tc>
        <w:tc>
          <w:tcPr>
            <w:tcW w:w="406"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32–33.9</w:t>
            </w:r>
          </w:p>
        </w:tc>
        <w:tc>
          <w:tcPr>
            <w:tcW w:w="406"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30–31.9</w:t>
            </w:r>
          </w:p>
        </w:tc>
        <w:tc>
          <w:tcPr>
            <w:tcW w:w="402" w:type="pct"/>
            <w:tcBorders>
              <w:top w:val="nil"/>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≤39.9</w:t>
            </w:r>
          </w:p>
        </w:tc>
      </w:tr>
      <w:tr w:rsidR="00F60826" w:rsidRPr="00224877" w:rsidTr="00224877">
        <w:trPr>
          <w:trHeight w:val="300"/>
        </w:trPr>
        <w:tc>
          <w:tcPr>
            <w:tcW w:w="1287" w:type="pct"/>
            <w:shd w:val="clear" w:color="auto" w:fill="auto"/>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 xml:space="preserve">Heart </w:t>
            </w:r>
            <w:proofErr w:type="spellStart"/>
            <w:r w:rsidRPr="00224877">
              <w:rPr>
                <w:rFonts w:ascii="Times New Roman" w:eastAsia="Times New Roman" w:hAnsi="Times New Roman" w:cs="Times New Roman"/>
                <w:color w:val="000000"/>
                <w:sz w:val="14"/>
                <w:szCs w:val="14"/>
                <w:lang w:val="es-AR" w:eastAsia="es-MX"/>
              </w:rPr>
              <w:t>rate</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bpm</w:t>
            </w:r>
            <w:proofErr w:type="spellEnd"/>
            <w:r w:rsidRPr="00224877">
              <w:rPr>
                <w:rFonts w:ascii="Times New Roman" w:eastAsia="Times New Roman" w:hAnsi="Times New Roman" w:cs="Times New Roman"/>
                <w:color w:val="000000"/>
                <w:sz w:val="14"/>
                <w:szCs w:val="14"/>
                <w:lang w:val="es-AR" w:eastAsia="es-MX"/>
              </w:rPr>
              <w:t>)</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≥180</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140–179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110–139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70–109</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55–69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40–54</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≤39</w:t>
            </w:r>
          </w:p>
        </w:tc>
      </w:tr>
      <w:tr w:rsidR="00F60826" w:rsidRPr="00224877" w:rsidTr="00224877">
        <w:trPr>
          <w:trHeight w:val="300"/>
        </w:trPr>
        <w:tc>
          <w:tcPr>
            <w:tcW w:w="1287" w:type="pct"/>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Respiratory</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rate</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breaths</w:t>
            </w:r>
            <w:proofErr w:type="spellEnd"/>
            <w:r w:rsidRPr="00224877">
              <w:rPr>
                <w:rFonts w:ascii="Times New Roman" w:eastAsia="Times New Roman" w:hAnsi="Times New Roman" w:cs="Times New Roman"/>
                <w:color w:val="000000"/>
                <w:sz w:val="14"/>
                <w:szCs w:val="14"/>
                <w:lang w:val="es-AR" w:eastAsia="es-MX"/>
              </w:rPr>
              <w:t>/minute)</w:t>
            </w:r>
          </w:p>
        </w:tc>
        <w:tc>
          <w:tcPr>
            <w:tcW w:w="400"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≥50</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35–49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25–34</w:t>
            </w:r>
          </w:p>
        </w:tc>
        <w:tc>
          <w:tcPr>
            <w:tcW w:w="45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12–24</w:t>
            </w:r>
          </w:p>
        </w:tc>
        <w:tc>
          <w:tcPr>
            <w:tcW w:w="38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10–11</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w:t>
            </w:r>
          </w:p>
        </w:tc>
      </w:tr>
      <w:tr w:rsidR="00F60826" w:rsidRPr="00224877" w:rsidTr="00224877">
        <w:trPr>
          <w:trHeight w:val="300"/>
        </w:trPr>
        <w:tc>
          <w:tcPr>
            <w:tcW w:w="1287" w:type="pct"/>
            <w:shd w:val="clear" w:color="auto" w:fill="auto"/>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Serum</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sodium</w:t>
            </w:r>
            <w:proofErr w:type="spellEnd"/>
            <w:r w:rsidRPr="00224877">
              <w:rPr>
                <w:rFonts w:ascii="Times New Roman" w:eastAsia="Times New Roman" w:hAnsi="Times New Roman" w:cs="Times New Roman"/>
                <w:color w:val="000000"/>
                <w:sz w:val="14"/>
                <w:szCs w:val="14"/>
                <w:lang w:val="es-AR" w:eastAsia="es-MX"/>
              </w:rPr>
              <w:t xml:space="preserve"> (mmol/L)</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≥180</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160–179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155–159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150–154</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130–149</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120–129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111–119</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≤110</w:t>
            </w:r>
          </w:p>
        </w:tc>
      </w:tr>
      <w:tr w:rsidR="00F60826" w:rsidRPr="00224877" w:rsidTr="00224877">
        <w:trPr>
          <w:trHeight w:val="300"/>
        </w:trPr>
        <w:tc>
          <w:tcPr>
            <w:tcW w:w="1287" w:type="pct"/>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Serum</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potassium</w:t>
            </w:r>
            <w:proofErr w:type="spellEnd"/>
            <w:r w:rsidRPr="00224877">
              <w:rPr>
                <w:rFonts w:ascii="Times New Roman" w:eastAsia="Times New Roman" w:hAnsi="Times New Roman" w:cs="Times New Roman"/>
                <w:color w:val="000000"/>
                <w:sz w:val="14"/>
                <w:szCs w:val="14"/>
                <w:lang w:val="es-AR" w:eastAsia="es-MX"/>
              </w:rPr>
              <w:t xml:space="preserve"> (mmol/L)</w:t>
            </w:r>
          </w:p>
        </w:tc>
        <w:tc>
          <w:tcPr>
            <w:tcW w:w="400"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≥7.0</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6–6.9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5.5–5.9</w:t>
            </w:r>
          </w:p>
        </w:tc>
        <w:tc>
          <w:tcPr>
            <w:tcW w:w="45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3.5–5.4</w:t>
            </w:r>
          </w:p>
        </w:tc>
        <w:tc>
          <w:tcPr>
            <w:tcW w:w="38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3–3.4</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2.5–2.9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&lt;2.5</w:t>
            </w:r>
          </w:p>
        </w:tc>
      </w:tr>
      <w:tr w:rsidR="00F60826" w:rsidRPr="00224877" w:rsidTr="00224877">
        <w:trPr>
          <w:trHeight w:val="300"/>
        </w:trPr>
        <w:tc>
          <w:tcPr>
            <w:tcW w:w="1287" w:type="pct"/>
            <w:shd w:val="clear" w:color="auto" w:fill="auto"/>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Serum</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creatinine</w:t>
            </w:r>
            <w:proofErr w:type="spellEnd"/>
            <w:r w:rsidRPr="00224877">
              <w:rPr>
                <w:rFonts w:ascii="Times New Roman" w:eastAsia="Times New Roman" w:hAnsi="Times New Roman" w:cs="Times New Roman"/>
                <w:color w:val="000000"/>
                <w:sz w:val="14"/>
                <w:szCs w:val="14"/>
                <w:lang w:val="es-AR" w:eastAsia="es-MX"/>
              </w:rPr>
              <w:t xml:space="preserve"> (mg/100 </w:t>
            </w:r>
            <w:proofErr w:type="spellStart"/>
            <w:r w:rsidRPr="00224877">
              <w:rPr>
                <w:rFonts w:ascii="Times New Roman" w:eastAsia="Times New Roman" w:hAnsi="Times New Roman" w:cs="Times New Roman"/>
                <w:color w:val="000000"/>
                <w:sz w:val="14"/>
                <w:szCs w:val="14"/>
                <w:lang w:val="es-AR" w:eastAsia="es-MX"/>
              </w:rPr>
              <w:t>mL</w:t>
            </w:r>
            <w:proofErr w:type="spellEnd"/>
            <w:r w:rsidRPr="00224877">
              <w:rPr>
                <w:rFonts w:ascii="Times New Roman" w:eastAsia="Times New Roman" w:hAnsi="Times New Roman" w:cs="Times New Roman"/>
                <w:color w:val="000000"/>
                <w:sz w:val="14"/>
                <w:szCs w:val="14"/>
                <w:lang w:val="es-AR" w:eastAsia="es-MX"/>
              </w:rPr>
              <w:t>)</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≥3.5</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2–3.4</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1.5–1.9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0.6–1.4</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&lt;0.6</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r>
      <w:tr w:rsidR="00F60826" w:rsidRPr="00224877" w:rsidTr="00224877">
        <w:trPr>
          <w:trHeight w:val="300"/>
        </w:trPr>
        <w:tc>
          <w:tcPr>
            <w:tcW w:w="1287" w:type="pct"/>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Hematocrit</w:t>
            </w:r>
            <w:proofErr w:type="spellEnd"/>
            <w:r w:rsidRPr="00224877">
              <w:rPr>
                <w:rFonts w:ascii="Times New Roman" w:eastAsia="Times New Roman" w:hAnsi="Times New Roman" w:cs="Times New Roman"/>
                <w:color w:val="000000"/>
                <w:sz w:val="14"/>
                <w:szCs w:val="14"/>
                <w:lang w:val="es-AR" w:eastAsia="es-MX"/>
              </w:rPr>
              <w:t xml:space="preserve"> (%)</w:t>
            </w:r>
          </w:p>
        </w:tc>
        <w:tc>
          <w:tcPr>
            <w:tcW w:w="400"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≥60.0</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50–59.9</w:t>
            </w:r>
          </w:p>
        </w:tc>
        <w:tc>
          <w:tcPr>
            <w:tcW w:w="451"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46–49.9</w:t>
            </w:r>
          </w:p>
        </w:tc>
        <w:tc>
          <w:tcPr>
            <w:tcW w:w="45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30–45.9</w:t>
            </w:r>
          </w:p>
        </w:tc>
        <w:tc>
          <w:tcPr>
            <w:tcW w:w="38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20–29.9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&lt;20.0</w:t>
            </w:r>
          </w:p>
        </w:tc>
      </w:tr>
      <w:tr w:rsidR="00F60826" w:rsidRPr="00224877" w:rsidTr="00224877">
        <w:trPr>
          <w:trHeight w:val="300"/>
        </w:trPr>
        <w:tc>
          <w:tcPr>
            <w:tcW w:w="1287" w:type="pct"/>
            <w:shd w:val="clear" w:color="auto" w:fill="auto"/>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 xml:space="preserve">Total </w:t>
            </w:r>
            <w:proofErr w:type="spellStart"/>
            <w:r w:rsidRPr="00224877">
              <w:rPr>
                <w:rFonts w:ascii="Times New Roman" w:eastAsia="Times New Roman" w:hAnsi="Times New Roman" w:cs="Times New Roman"/>
                <w:color w:val="000000"/>
                <w:sz w:val="14"/>
                <w:szCs w:val="14"/>
                <w:lang w:val="es-AR" w:eastAsia="es-MX"/>
              </w:rPr>
              <w:t>leukocytes</w:t>
            </w:r>
            <w:proofErr w:type="spellEnd"/>
            <w:r w:rsidRPr="00224877">
              <w:rPr>
                <w:rFonts w:ascii="Times New Roman" w:eastAsia="Times New Roman" w:hAnsi="Times New Roman" w:cs="Times New Roman"/>
                <w:color w:val="000000"/>
                <w:sz w:val="14"/>
                <w:szCs w:val="14"/>
                <w:lang w:val="es-AR" w:eastAsia="es-MX"/>
              </w:rPr>
              <w:t xml:space="preserve"> ×1000/mm³</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≥40.0</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20–39.9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15–19.9</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3–14.9</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1–2.9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&lt;1.0</w:t>
            </w:r>
          </w:p>
        </w:tc>
      </w:tr>
      <w:tr w:rsidR="00F60826" w:rsidRPr="00224877" w:rsidTr="00820826">
        <w:trPr>
          <w:trHeight w:val="300"/>
        </w:trPr>
        <w:tc>
          <w:tcPr>
            <w:tcW w:w="1287" w:type="pct"/>
            <w:tcBorders>
              <w:bottom w:val="single" w:sz="4" w:space="0" w:color="B6DDE8" w:themeColor="accent5" w:themeTint="66"/>
            </w:tcBorders>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Serum</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bicarbonate</w:t>
            </w:r>
            <w:proofErr w:type="spellEnd"/>
            <w:r w:rsidRPr="00224877">
              <w:rPr>
                <w:rFonts w:ascii="Times New Roman" w:eastAsia="Times New Roman" w:hAnsi="Times New Roman" w:cs="Times New Roman"/>
                <w:color w:val="000000"/>
                <w:sz w:val="14"/>
                <w:szCs w:val="14"/>
                <w:lang w:val="es-AR" w:eastAsia="es-MX"/>
              </w:rPr>
              <w:t xml:space="preserve"> (mmol/L)</w:t>
            </w:r>
          </w:p>
        </w:tc>
        <w:tc>
          <w:tcPr>
            <w:tcW w:w="400"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≥52</w:t>
            </w:r>
          </w:p>
        </w:tc>
        <w:tc>
          <w:tcPr>
            <w:tcW w:w="406"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41–51.9</w:t>
            </w:r>
          </w:p>
        </w:tc>
        <w:tc>
          <w:tcPr>
            <w:tcW w:w="406"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32–40.9</w:t>
            </w:r>
          </w:p>
        </w:tc>
        <w:tc>
          <w:tcPr>
            <w:tcW w:w="453"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22–31.9</w:t>
            </w:r>
          </w:p>
        </w:tc>
        <w:tc>
          <w:tcPr>
            <w:tcW w:w="383"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18–21.9</w:t>
            </w:r>
          </w:p>
        </w:tc>
        <w:tc>
          <w:tcPr>
            <w:tcW w:w="406"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15–17.9</w:t>
            </w:r>
          </w:p>
        </w:tc>
        <w:tc>
          <w:tcPr>
            <w:tcW w:w="402" w:type="pct"/>
            <w:tcBorders>
              <w:bottom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&lt;15</w:t>
            </w:r>
          </w:p>
        </w:tc>
      </w:tr>
      <w:tr w:rsidR="00F60826" w:rsidRPr="00224877" w:rsidTr="00820826">
        <w:trPr>
          <w:trHeight w:val="300"/>
        </w:trPr>
        <w:tc>
          <w:tcPr>
            <w:tcW w:w="1287" w:type="pct"/>
            <w:tcBorders>
              <w:top w:val="single" w:sz="4" w:space="0" w:color="B6DDE8" w:themeColor="accent5" w:themeTint="66"/>
              <w:left w:val="single" w:sz="4" w:space="0" w:color="92CDDC"/>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UFGSI</w:t>
            </w:r>
          </w:p>
        </w:tc>
        <w:tc>
          <w:tcPr>
            <w:tcW w:w="400"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High +4</w:t>
            </w:r>
          </w:p>
        </w:tc>
        <w:tc>
          <w:tcPr>
            <w:tcW w:w="406"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High +3</w:t>
            </w:r>
          </w:p>
        </w:tc>
        <w:tc>
          <w:tcPr>
            <w:tcW w:w="406"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High +2</w:t>
            </w:r>
          </w:p>
        </w:tc>
        <w:tc>
          <w:tcPr>
            <w:tcW w:w="451"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High +1</w:t>
            </w:r>
          </w:p>
        </w:tc>
        <w:tc>
          <w:tcPr>
            <w:tcW w:w="453"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Normal 0</w:t>
            </w:r>
          </w:p>
        </w:tc>
        <w:tc>
          <w:tcPr>
            <w:tcW w:w="383"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Low +1</w:t>
            </w:r>
          </w:p>
        </w:tc>
        <w:tc>
          <w:tcPr>
            <w:tcW w:w="406"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Low +2</w:t>
            </w:r>
          </w:p>
        </w:tc>
        <w:tc>
          <w:tcPr>
            <w:tcW w:w="406"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Low +3</w:t>
            </w:r>
          </w:p>
        </w:tc>
        <w:tc>
          <w:tcPr>
            <w:tcW w:w="402"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92CDDC"/>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Low +4</w:t>
            </w:r>
          </w:p>
        </w:tc>
      </w:tr>
      <w:tr w:rsidR="00F60826" w:rsidRPr="00224877" w:rsidTr="00820826">
        <w:trPr>
          <w:trHeight w:val="300"/>
        </w:trPr>
        <w:tc>
          <w:tcPr>
            <w:tcW w:w="1287" w:type="pct"/>
            <w:tcBorders>
              <w:top w:val="single" w:sz="4" w:space="0" w:color="B6DDE8" w:themeColor="accent5" w:themeTint="66"/>
            </w:tcBorders>
            <w:shd w:val="clear" w:color="auto" w:fill="DAEEF3" w:themeFill="accent5" w:themeFillTint="33"/>
            <w:noWrap/>
            <w:hideMark/>
          </w:tcPr>
          <w:p w:rsidR="00F60826" w:rsidRPr="00224877" w:rsidRDefault="00224877"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Temperature</w:t>
            </w:r>
            <w:proofErr w:type="spellEnd"/>
            <w:r w:rsidR="00F60826" w:rsidRPr="00224877">
              <w:rPr>
                <w:rFonts w:ascii="Times New Roman" w:eastAsia="Times New Roman" w:hAnsi="Times New Roman" w:cs="Times New Roman"/>
                <w:color w:val="000000"/>
                <w:sz w:val="14"/>
                <w:szCs w:val="14"/>
                <w:lang w:val="es-AR" w:eastAsia="es-MX"/>
              </w:rPr>
              <w:t xml:space="preserve"> (°C)</w:t>
            </w:r>
          </w:p>
        </w:tc>
        <w:tc>
          <w:tcPr>
            <w:tcW w:w="400"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≥41.0</w:t>
            </w:r>
          </w:p>
        </w:tc>
        <w:tc>
          <w:tcPr>
            <w:tcW w:w="406"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39–40.9</w:t>
            </w:r>
          </w:p>
        </w:tc>
        <w:tc>
          <w:tcPr>
            <w:tcW w:w="406"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38.5–38.9</w:t>
            </w:r>
          </w:p>
        </w:tc>
        <w:tc>
          <w:tcPr>
            <w:tcW w:w="453"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36–38.4</w:t>
            </w:r>
          </w:p>
        </w:tc>
        <w:tc>
          <w:tcPr>
            <w:tcW w:w="383"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34–35.9</w:t>
            </w:r>
          </w:p>
        </w:tc>
        <w:tc>
          <w:tcPr>
            <w:tcW w:w="406"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32–33.9</w:t>
            </w:r>
          </w:p>
        </w:tc>
        <w:tc>
          <w:tcPr>
            <w:tcW w:w="406"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30–31.9</w:t>
            </w:r>
          </w:p>
        </w:tc>
        <w:tc>
          <w:tcPr>
            <w:tcW w:w="402"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≤39.9</w:t>
            </w:r>
          </w:p>
        </w:tc>
      </w:tr>
      <w:tr w:rsidR="00224877" w:rsidRPr="00224877" w:rsidTr="00224877">
        <w:trPr>
          <w:trHeight w:val="300"/>
        </w:trPr>
        <w:tc>
          <w:tcPr>
            <w:tcW w:w="1287" w:type="pct"/>
            <w:shd w:val="clear" w:color="auto" w:fill="auto"/>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 xml:space="preserve">Heart </w:t>
            </w:r>
            <w:proofErr w:type="spellStart"/>
            <w:r w:rsidRPr="00224877">
              <w:rPr>
                <w:rFonts w:ascii="Times New Roman" w:eastAsia="Times New Roman" w:hAnsi="Times New Roman" w:cs="Times New Roman"/>
                <w:color w:val="000000"/>
                <w:sz w:val="14"/>
                <w:szCs w:val="14"/>
                <w:lang w:val="es-AR" w:eastAsia="es-MX"/>
              </w:rPr>
              <w:t>rate</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bpm</w:t>
            </w:r>
            <w:proofErr w:type="spellEnd"/>
            <w:r w:rsidRPr="00224877">
              <w:rPr>
                <w:rFonts w:ascii="Times New Roman" w:eastAsia="Times New Roman" w:hAnsi="Times New Roman" w:cs="Times New Roman"/>
                <w:color w:val="000000"/>
                <w:sz w:val="14"/>
                <w:szCs w:val="14"/>
                <w:lang w:val="es-AR" w:eastAsia="es-MX"/>
              </w:rPr>
              <w:t>)</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≥180</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140–179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110–139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70–109</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55–69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40–54</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≤39</w:t>
            </w:r>
          </w:p>
        </w:tc>
      </w:tr>
      <w:tr w:rsidR="00F60826" w:rsidRPr="00224877" w:rsidTr="00224877">
        <w:trPr>
          <w:trHeight w:val="300"/>
        </w:trPr>
        <w:tc>
          <w:tcPr>
            <w:tcW w:w="1287" w:type="pct"/>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Respiratory</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rate</w:t>
            </w:r>
            <w:proofErr w:type="spellEnd"/>
            <w:r w:rsidRPr="00224877">
              <w:rPr>
                <w:rFonts w:ascii="Times New Roman" w:eastAsia="Times New Roman" w:hAnsi="Times New Roman" w:cs="Times New Roman"/>
                <w:color w:val="000000"/>
                <w:sz w:val="14"/>
                <w:szCs w:val="14"/>
                <w:lang w:val="es-AR" w:eastAsia="es-MX"/>
              </w:rPr>
              <w:t xml:space="preserve"> (/min)</w:t>
            </w:r>
          </w:p>
        </w:tc>
        <w:tc>
          <w:tcPr>
            <w:tcW w:w="400"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≥50</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35–49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25–34</w:t>
            </w:r>
          </w:p>
        </w:tc>
        <w:tc>
          <w:tcPr>
            <w:tcW w:w="45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12–24</w:t>
            </w:r>
          </w:p>
        </w:tc>
        <w:tc>
          <w:tcPr>
            <w:tcW w:w="38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10–11</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w:t>
            </w:r>
          </w:p>
        </w:tc>
      </w:tr>
      <w:tr w:rsidR="00224877" w:rsidRPr="00224877" w:rsidTr="00224877">
        <w:trPr>
          <w:trHeight w:val="300"/>
        </w:trPr>
        <w:tc>
          <w:tcPr>
            <w:tcW w:w="1287" w:type="pct"/>
            <w:shd w:val="clear" w:color="auto" w:fill="auto"/>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Serum</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sodium</w:t>
            </w:r>
            <w:proofErr w:type="spellEnd"/>
            <w:r w:rsidRPr="00224877">
              <w:rPr>
                <w:rFonts w:ascii="Times New Roman" w:eastAsia="Times New Roman" w:hAnsi="Times New Roman" w:cs="Times New Roman"/>
                <w:color w:val="000000"/>
                <w:sz w:val="14"/>
                <w:szCs w:val="14"/>
                <w:lang w:val="es-AR" w:eastAsia="es-MX"/>
              </w:rPr>
              <w:t xml:space="preserve"> (mmol/L)</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≥180</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160–179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155–159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150–154</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130–149</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120–129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111–119</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≤110</w:t>
            </w:r>
          </w:p>
        </w:tc>
      </w:tr>
      <w:tr w:rsidR="00F60826" w:rsidRPr="00224877" w:rsidTr="00224877">
        <w:trPr>
          <w:trHeight w:val="300"/>
        </w:trPr>
        <w:tc>
          <w:tcPr>
            <w:tcW w:w="1287" w:type="pct"/>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Serum</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potassium</w:t>
            </w:r>
            <w:proofErr w:type="spellEnd"/>
            <w:r w:rsidRPr="00224877">
              <w:rPr>
                <w:rFonts w:ascii="Times New Roman" w:eastAsia="Times New Roman" w:hAnsi="Times New Roman" w:cs="Times New Roman"/>
                <w:color w:val="000000"/>
                <w:sz w:val="14"/>
                <w:szCs w:val="14"/>
                <w:lang w:val="es-AR" w:eastAsia="es-MX"/>
              </w:rPr>
              <w:t xml:space="preserve"> (mmol/L)</w:t>
            </w:r>
          </w:p>
        </w:tc>
        <w:tc>
          <w:tcPr>
            <w:tcW w:w="400"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≥7.0</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6–6.9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5.5–5.9</w:t>
            </w:r>
          </w:p>
        </w:tc>
        <w:tc>
          <w:tcPr>
            <w:tcW w:w="45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3.5–5.4</w:t>
            </w:r>
          </w:p>
        </w:tc>
        <w:tc>
          <w:tcPr>
            <w:tcW w:w="38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3–3.4</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2.5–2.9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&lt;2.5</w:t>
            </w:r>
          </w:p>
        </w:tc>
      </w:tr>
      <w:tr w:rsidR="00224877" w:rsidRPr="00224877" w:rsidTr="00224877">
        <w:trPr>
          <w:trHeight w:val="300"/>
        </w:trPr>
        <w:tc>
          <w:tcPr>
            <w:tcW w:w="1287" w:type="pct"/>
            <w:shd w:val="clear" w:color="auto" w:fill="auto"/>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Serum</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creatinine</w:t>
            </w:r>
            <w:proofErr w:type="spellEnd"/>
            <w:r w:rsidRPr="00224877">
              <w:rPr>
                <w:rFonts w:ascii="Times New Roman" w:eastAsia="Times New Roman" w:hAnsi="Times New Roman" w:cs="Times New Roman"/>
                <w:color w:val="000000"/>
                <w:sz w:val="14"/>
                <w:szCs w:val="14"/>
                <w:lang w:val="es-AR" w:eastAsia="es-MX"/>
              </w:rPr>
              <w:t xml:space="preserve"> (mg/100 </w:t>
            </w:r>
            <w:proofErr w:type="spellStart"/>
            <w:r w:rsidRPr="00224877">
              <w:rPr>
                <w:rFonts w:ascii="Times New Roman" w:eastAsia="Times New Roman" w:hAnsi="Times New Roman" w:cs="Times New Roman"/>
                <w:color w:val="000000"/>
                <w:sz w:val="14"/>
                <w:szCs w:val="14"/>
                <w:lang w:val="es-AR" w:eastAsia="es-MX"/>
              </w:rPr>
              <w:t>mL</w:t>
            </w:r>
            <w:proofErr w:type="spellEnd"/>
            <w:r w:rsidRPr="00224877">
              <w:rPr>
                <w:rFonts w:ascii="Times New Roman" w:eastAsia="Times New Roman" w:hAnsi="Times New Roman" w:cs="Times New Roman"/>
                <w:color w:val="000000"/>
                <w:sz w:val="14"/>
                <w:szCs w:val="14"/>
                <w:lang w:val="es-AR" w:eastAsia="es-MX"/>
              </w:rPr>
              <w:t>)</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≥3.5</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2–3.4</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1.5–1.9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0.6–1.4</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&lt;0.6</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r>
      <w:tr w:rsidR="00F60826" w:rsidRPr="00224877" w:rsidTr="00224877">
        <w:trPr>
          <w:trHeight w:val="300"/>
        </w:trPr>
        <w:tc>
          <w:tcPr>
            <w:tcW w:w="1287" w:type="pct"/>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Hematocrit</w:t>
            </w:r>
            <w:proofErr w:type="spellEnd"/>
            <w:r w:rsidRPr="00224877">
              <w:rPr>
                <w:rFonts w:ascii="Times New Roman" w:eastAsia="Times New Roman" w:hAnsi="Times New Roman" w:cs="Times New Roman"/>
                <w:color w:val="000000"/>
                <w:sz w:val="14"/>
                <w:szCs w:val="14"/>
                <w:lang w:val="es-AR" w:eastAsia="es-MX"/>
              </w:rPr>
              <w:t xml:space="preserve"> (%)</w:t>
            </w:r>
          </w:p>
        </w:tc>
        <w:tc>
          <w:tcPr>
            <w:tcW w:w="400"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≥60.0</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50–59.9</w:t>
            </w:r>
          </w:p>
        </w:tc>
        <w:tc>
          <w:tcPr>
            <w:tcW w:w="451"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46–49.9</w:t>
            </w:r>
          </w:p>
        </w:tc>
        <w:tc>
          <w:tcPr>
            <w:tcW w:w="45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30–45.9</w:t>
            </w:r>
          </w:p>
        </w:tc>
        <w:tc>
          <w:tcPr>
            <w:tcW w:w="38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20–29.9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&lt;20.0</w:t>
            </w:r>
          </w:p>
        </w:tc>
      </w:tr>
      <w:tr w:rsidR="00224877" w:rsidRPr="00224877" w:rsidTr="00224877">
        <w:trPr>
          <w:trHeight w:val="300"/>
        </w:trPr>
        <w:tc>
          <w:tcPr>
            <w:tcW w:w="1287" w:type="pct"/>
            <w:shd w:val="clear" w:color="auto" w:fill="auto"/>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 xml:space="preserve">Total </w:t>
            </w:r>
            <w:proofErr w:type="spellStart"/>
            <w:r w:rsidRPr="00224877">
              <w:rPr>
                <w:rFonts w:ascii="Times New Roman" w:eastAsia="Times New Roman" w:hAnsi="Times New Roman" w:cs="Times New Roman"/>
                <w:color w:val="000000"/>
                <w:sz w:val="14"/>
                <w:szCs w:val="14"/>
                <w:lang w:val="es-AR" w:eastAsia="es-MX"/>
              </w:rPr>
              <w:t>leukocytes</w:t>
            </w:r>
            <w:proofErr w:type="spellEnd"/>
            <w:r w:rsidRPr="00224877">
              <w:rPr>
                <w:rFonts w:ascii="Times New Roman" w:eastAsia="Times New Roman" w:hAnsi="Times New Roman" w:cs="Times New Roman"/>
                <w:color w:val="000000"/>
                <w:sz w:val="14"/>
                <w:szCs w:val="14"/>
                <w:lang w:val="es-AR" w:eastAsia="es-MX"/>
              </w:rPr>
              <w:t xml:space="preserve"> ×1000/mm³</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≥40.0</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20–39.9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15–19.9</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3–14.9</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1–2.9</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&lt;1.0</w:t>
            </w:r>
          </w:p>
        </w:tc>
      </w:tr>
      <w:tr w:rsidR="00F60826" w:rsidRPr="00224877" w:rsidTr="00224877">
        <w:trPr>
          <w:trHeight w:val="300"/>
        </w:trPr>
        <w:tc>
          <w:tcPr>
            <w:tcW w:w="1287" w:type="pct"/>
            <w:shd w:val="clear" w:color="auto" w:fill="DAEEF3" w:themeFill="accent5" w:themeFillTint="33"/>
            <w:noWrap/>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proofErr w:type="spellStart"/>
            <w:r w:rsidRPr="00224877">
              <w:rPr>
                <w:rFonts w:ascii="Times New Roman" w:eastAsia="Times New Roman" w:hAnsi="Times New Roman" w:cs="Times New Roman"/>
                <w:color w:val="000000"/>
                <w:sz w:val="14"/>
                <w:szCs w:val="14"/>
                <w:lang w:val="es-AR" w:eastAsia="es-MX"/>
              </w:rPr>
              <w:t>Serum</w:t>
            </w:r>
            <w:proofErr w:type="spellEnd"/>
            <w:r w:rsidRPr="00224877">
              <w:rPr>
                <w:rFonts w:ascii="Times New Roman" w:eastAsia="Times New Roman" w:hAnsi="Times New Roman" w:cs="Times New Roman"/>
                <w:color w:val="000000"/>
                <w:sz w:val="14"/>
                <w:szCs w:val="14"/>
                <w:lang w:val="es-AR" w:eastAsia="es-MX"/>
              </w:rPr>
              <w:t xml:space="preserve"> </w:t>
            </w:r>
            <w:proofErr w:type="spellStart"/>
            <w:r w:rsidRPr="00224877">
              <w:rPr>
                <w:rFonts w:ascii="Times New Roman" w:eastAsia="Times New Roman" w:hAnsi="Times New Roman" w:cs="Times New Roman"/>
                <w:color w:val="000000"/>
                <w:sz w:val="14"/>
                <w:szCs w:val="14"/>
                <w:lang w:val="es-AR" w:eastAsia="es-MX"/>
              </w:rPr>
              <w:t>bicarbonate</w:t>
            </w:r>
            <w:proofErr w:type="spellEnd"/>
            <w:r w:rsidRPr="00224877">
              <w:rPr>
                <w:rFonts w:ascii="Times New Roman" w:eastAsia="Times New Roman" w:hAnsi="Times New Roman" w:cs="Times New Roman"/>
                <w:color w:val="000000"/>
                <w:sz w:val="14"/>
                <w:szCs w:val="14"/>
                <w:lang w:val="es-AR" w:eastAsia="es-MX"/>
              </w:rPr>
              <w:t xml:space="preserve"> (mmol/L)</w:t>
            </w:r>
          </w:p>
        </w:tc>
        <w:tc>
          <w:tcPr>
            <w:tcW w:w="400"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≥52</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41–51.9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32–40.9</w:t>
            </w:r>
          </w:p>
        </w:tc>
        <w:tc>
          <w:tcPr>
            <w:tcW w:w="45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22–31.9</w:t>
            </w:r>
          </w:p>
        </w:tc>
        <w:tc>
          <w:tcPr>
            <w:tcW w:w="38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18–21.9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15–17.9</w:t>
            </w:r>
          </w:p>
        </w:tc>
        <w:tc>
          <w:tcPr>
            <w:tcW w:w="402"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&lt;15</w:t>
            </w:r>
          </w:p>
        </w:tc>
      </w:tr>
      <w:tr w:rsidR="00732BE8" w:rsidRPr="00224877" w:rsidTr="00224877">
        <w:trPr>
          <w:trHeight w:val="581"/>
        </w:trPr>
        <w:tc>
          <w:tcPr>
            <w:tcW w:w="1287" w:type="pct"/>
            <w:shd w:val="clear" w:color="auto" w:fill="auto"/>
            <w:vAlign w:val="center"/>
            <w:hideMark/>
          </w:tcPr>
          <w:p w:rsidR="00D70265" w:rsidRPr="00224877" w:rsidRDefault="00D70265" w:rsidP="00D70265">
            <w:pPr>
              <w:pStyle w:val="NormalWeb"/>
              <w:rPr>
                <w:color w:val="000000"/>
                <w:sz w:val="14"/>
                <w:szCs w:val="14"/>
              </w:rPr>
            </w:pPr>
          </w:p>
          <w:p w:rsidR="00732BE8" w:rsidRPr="00224877" w:rsidRDefault="00732BE8" w:rsidP="00D70265">
            <w:pPr>
              <w:pStyle w:val="NormalWeb"/>
              <w:rPr>
                <w:color w:val="000000"/>
                <w:sz w:val="14"/>
                <w:szCs w:val="14"/>
              </w:rPr>
            </w:pPr>
            <w:proofErr w:type="spellStart"/>
            <w:r w:rsidRPr="00224877">
              <w:rPr>
                <w:color w:val="000000"/>
                <w:sz w:val="14"/>
                <w:szCs w:val="14"/>
              </w:rPr>
              <w:t>Dissemination</w:t>
            </w:r>
            <w:proofErr w:type="spellEnd"/>
            <w:r w:rsidRPr="00224877">
              <w:rPr>
                <w:color w:val="000000"/>
                <w:sz w:val="14"/>
                <w:szCs w:val="14"/>
              </w:rPr>
              <w:t xml:space="preserve"> score (</w:t>
            </w:r>
            <w:proofErr w:type="spellStart"/>
            <w:r w:rsidRPr="00224877">
              <w:rPr>
                <w:color w:val="000000"/>
                <w:sz w:val="14"/>
                <w:szCs w:val="14"/>
              </w:rPr>
              <w:t>add</w:t>
            </w:r>
            <w:proofErr w:type="spellEnd"/>
            <w:r w:rsidRPr="00224877">
              <w:rPr>
                <w:color w:val="000000"/>
                <w:sz w:val="14"/>
                <w:szCs w:val="14"/>
              </w:rPr>
              <w:t>)</w:t>
            </w:r>
          </w:p>
          <w:p w:rsidR="00732BE8" w:rsidRPr="00224877" w:rsidRDefault="00732BE8" w:rsidP="00D70265">
            <w:pPr>
              <w:spacing w:line="240" w:lineRule="auto"/>
              <w:rPr>
                <w:rFonts w:ascii="Times New Roman" w:eastAsia="Times New Roman" w:hAnsi="Times New Roman" w:cs="Times New Roman"/>
                <w:bCs/>
                <w:color w:val="000000"/>
                <w:sz w:val="14"/>
                <w:szCs w:val="14"/>
                <w:lang w:val="es-AR" w:eastAsia="es-MX"/>
              </w:rPr>
            </w:pPr>
          </w:p>
        </w:tc>
        <w:tc>
          <w:tcPr>
            <w:tcW w:w="2905" w:type="pct"/>
            <w:gridSpan w:val="7"/>
            <w:shd w:val="clear" w:color="auto" w:fill="auto"/>
            <w:noWrap/>
            <w:vAlign w:val="center"/>
            <w:hideMark/>
          </w:tcPr>
          <w:p w:rsidR="00732BE8" w:rsidRPr="00224877" w:rsidRDefault="00732BE8" w:rsidP="00732BE8">
            <w:pPr>
              <w:spacing w:line="240" w:lineRule="auto"/>
              <w:rPr>
                <w:rFonts w:ascii="Times New Roman" w:eastAsia="Times New Roman" w:hAnsi="Times New Roman" w:cs="Times New Roman"/>
                <w:color w:val="000000"/>
                <w:sz w:val="14"/>
                <w:szCs w:val="14"/>
                <w:lang w:val="en-US" w:eastAsia="es-MX"/>
              </w:rPr>
            </w:pPr>
            <w:r w:rsidRPr="00224877">
              <w:rPr>
                <w:rFonts w:ascii="Times New Roman" w:eastAsia="Times New Roman" w:hAnsi="Times New Roman" w:cs="Times New Roman"/>
                <w:color w:val="000000"/>
                <w:sz w:val="14"/>
                <w:szCs w:val="14"/>
                <w:lang w:val="en-US" w:eastAsia="es-MX"/>
              </w:rPr>
              <w:t>Fournier's gangrene is limited to the urogenital and/or anorectal regions.</w:t>
            </w:r>
          </w:p>
          <w:p w:rsidR="00732BE8" w:rsidRPr="00224877" w:rsidRDefault="00732BE8" w:rsidP="00732BE8">
            <w:pPr>
              <w:spacing w:line="240" w:lineRule="auto"/>
              <w:rPr>
                <w:rFonts w:ascii="Times New Roman" w:eastAsia="Times New Roman" w:hAnsi="Times New Roman" w:cs="Times New Roman"/>
                <w:color w:val="000000"/>
                <w:sz w:val="14"/>
                <w:szCs w:val="14"/>
                <w:lang w:val="en-US" w:eastAsia="es-MX"/>
              </w:rPr>
            </w:pPr>
            <w:r w:rsidRPr="00224877">
              <w:rPr>
                <w:rFonts w:ascii="Times New Roman" w:eastAsia="Times New Roman" w:hAnsi="Times New Roman" w:cs="Times New Roman"/>
                <w:color w:val="000000"/>
                <w:sz w:val="14"/>
                <w:szCs w:val="14"/>
                <w:lang w:val="en-US" w:eastAsia="es-MX"/>
              </w:rPr>
              <w:t>Fournier's gangrene is confined to the pelvic region.</w:t>
            </w:r>
          </w:p>
          <w:p w:rsidR="00732BE8" w:rsidRPr="00224877" w:rsidRDefault="00732BE8" w:rsidP="00732BE8">
            <w:pPr>
              <w:spacing w:line="240" w:lineRule="auto"/>
              <w:rPr>
                <w:rFonts w:ascii="Times New Roman" w:eastAsia="Times New Roman" w:hAnsi="Times New Roman" w:cs="Times New Roman"/>
                <w:color w:val="000000"/>
                <w:sz w:val="14"/>
                <w:szCs w:val="14"/>
                <w:lang w:val="en-US" w:eastAsia="es-MX"/>
              </w:rPr>
            </w:pPr>
            <w:r w:rsidRPr="00224877">
              <w:rPr>
                <w:rFonts w:ascii="Times New Roman" w:eastAsia="Times New Roman" w:hAnsi="Times New Roman" w:cs="Times New Roman"/>
                <w:color w:val="000000"/>
                <w:sz w:val="14"/>
                <w:szCs w:val="14"/>
                <w:lang w:val="en-US" w:eastAsia="es-MX"/>
              </w:rPr>
              <w:t>Fournier's gangrene that extends beyond the pelvis.</w:t>
            </w:r>
          </w:p>
        </w:tc>
        <w:tc>
          <w:tcPr>
            <w:tcW w:w="808" w:type="pct"/>
            <w:gridSpan w:val="2"/>
            <w:shd w:val="clear" w:color="auto" w:fill="auto"/>
            <w:noWrap/>
            <w:vAlign w:val="center"/>
            <w:hideMark/>
          </w:tcPr>
          <w:p w:rsidR="00D70265" w:rsidRPr="00224877" w:rsidRDefault="00D70265" w:rsidP="00732BE8">
            <w:pPr>
              <w:spacing w:line="240" w:lineRule="auto"/>
              <w:rPr>
                <w:rFonts w:ascii="Times New Roman" w:eastAsia="Times New Roman" w:hAnsi="Times New Roman" w:cs="Times New Roman"/>
                <w:color w:val="000000"/>
                <w:sz w:val="14"/>
                <w:szCs w:val="14"/>
                <w:lang w:val="es-AR" w:eastAsia="es-MX"/>
              </w:rPr>
            </w:pPr>
          </w:p>
          <w:p w:rsidR="00732BE8" w:rsidRPr="00224877" w:rsidRDefault="00732BE8" w:rsidP="00732BE8">
            <w:pPr>
              <w:spacing w:line="240" w:lineRule="auto"/>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w:t>
            </w:r>
          </w:p>
          <w:p w:rsidR="00732BE8" w:rsidRPr="00224877" w:rsidRDefault="00732BE8" w:rsidP="00732BE8">
            <w:pPr>
              <w:spacing w:line="240" w:lineRule="auto"/>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w:t>
            </w:r>
          </w:p>
          <w:p w:rsidR="00732BE8" w:rsidRPr="00224877" w:rsidRDefault="00732BE8" w:rsidP="00732BE8">
            <w:pPr>
              <w:spacing w:line="240" w:lineRule="auto"/>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w:t>
            </w:r>
          </w:p>
          <w:p w:rsidR="00732BE8" w:rsidRPr="00224877" w:rsidRDefault="00732BE8" w:rsidP="00732BE8">
            <w:pPr>
              <w:spacing w:line="240" w:lineRule="auto"/>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 </w:t>
            </w:r>
          </w:p>
        </w:tc>
      </w:tr>
      <w:tr w:rsidR="00732BE8" w:rsidRPr="00224877" w:rsidTr="00A73972">
        <w:trPr>
          <w:trHeight w:val="349"/>
        </w:trPr>
        <w:tc>
          <w:tcPr>
            <w:tcW w:w="1287" w:type="pct"/>
            <w:tcBorders>
              <w:bottom w:val="single" w:sz="4" w:space="0" w:color="B6DDE8" w:themeColor="accent5" w:themeTint="66"/>
            </w:tcBorders>
            <w:shd w:val="clear" w:color="auto" w:fill="auto"/>
            <w:noWrap/>
            <w:hideMark/>
          </w:tcPr>
          <w:p w:rsidR="00D70265" w:rsidRPr="00224877" w:rsidRDefault="00D70265" w:rsidP="00732BE8">
            <w:pPr>
              <w:spacing w:line="240" w:lineRule="auto"/>
              <w:rPr>
                <w:rFonts w:ascii="Times New Roman" w:eastAsia="Times New Roman" w:hAnsi="Times New Roman" w:cs="Times New Roman"/>
                <w:bCs/>
                <w:color w:val="000000"/>
                <w:sz w:val="14"/>
                <w:szCs w:val="14"/>
                <w:lang w:val="es-AR" w:eastAsia="es-MX"/>
              </w:rPr>
            </w:pPr>
          </w:p>
          <w:p w:rsidR="00732BE8" w:rsidRPr="00224877" w:rsidRDefault="00732BE8" w:rsidP="00732BE8">
            <w:pPr>
              <w:spacing w:line="240" w:lineRule="auto"/>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 xml:space="preserve">Score </w:t>
            </w:r>
            <w:proofErr w:type="spellStart"/>
            <w:r w:rsidRPr="00224877">
              <w:rPr>
                <w:rFonts w:ascii="Times New Roman" w:eastAsia="Times New Roman" w:hAnsi="Times New Roman" w:cs="Times New Roman"/>
                <w:bCs/>
                <w:color w:val="000000"/>
                <w:sz w:val="14"/>
                <w:szCs w:val="14"/>
                <w:lang w:val="es-AR" w:eastAsia="es-MX"/>
              </w:rPr>
              <w:t>by</w:t>
            </w:r>
            <w:proofErr w:type="spellEnd"/>
            <w:r w:rsidRPr="00224877">
              <w:rPr>
                <w:rFonts w:ascii="Times New Roman" w:eastAsia="Times New Roman" w:hAnsi="Times New Roman" w:cs="Times New Roman"/>
                <w:bCs/>
                <w:color w:val="000000"/>
                <w:sz w:val="14"/>
                <w:szCs w:val="14"/>
                <w:lang w:val="es-AR" w:eastAsia="es-MX"/>
              </w:rPr>
              <w:t xml:space="preserve"> </w:t>
            </w:r>
            <w:proofErr w:type="spellStart"/>
            <w:r w:rsidRPr="00224877">
              <w:rPr>
                <w:rFonts w:ascii="Times New Roman" w:eastAsia="Times New Roman" w:hAnsi="Times New Roman" w:cs="Times New Roman"/>
                <w:bCs/>
                <w:color w:val="000000"/>
                <w:sz w:val="14"/>
                <w:szCs w:val="14"/>
                <w:lang w:val="es-AR" w:eastAsia="es-MX"/>
              </w:rPr>
              <w:t>age</w:t>
            </w:r>
            <w:proofErr w:type="spellEnd"/>
          </w:p>
        </w:tc>
        <w:tc>
          <w:tcPr>
            <w:tcW w:w="806" w:type="pct"/>
            <w:gridSpan w:val="2"/>
            <w:tcBorders>
              <w:bottom w:val="single" w:sz="4" w:space="0" w:color="B6DDE8" w:themeColor="accent5" w:themeTint="66"/>
            </w:tcBorders>
            <w:shd w:val="clear" w:color="auto" w:fill="auto"/>
            <w:noWrap/>
            <w:vAlign w:val="center"/>
            <w:hideMark/>
          </w:tcPr>
          <w:p w:rsidR="00732BE8" w:rsidRPr="00224877" w:rsidRDefault="00732BE8" w:rsidP="00D70265">
            <w:pPr>
              <w:spacing w:line="240" w:lineRule="auto"/>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 xml:space="preserve">Age ≥60 </w:t>
            </w:r>
            <w:proofErr w:type="spellStart"/>
            <w:r w:rsidRPr="00224877">
              <w:rPr>
                <w:rFonts w:ascii="Times New Roman" w:eastAsia="Times New Roman" w:hAnsi="Times New Roman" w:cs="Times New Roman"/>
                <w:color w:val="000000"/>
                <w:sz w:val="14"/>
                <w:szCs w:val="14"/>
                <w:lang w:val="es-AR" w:eastAsia="es-MX"/>
              </w:rPr>
              <w:t>years</w:t>
            </w:r>
            <w:proofErr w:type="spellEnd"/>
          </w:p>
          <w:p w:rsidR="00732BE8" w:rsidRPr="00224877" w:rsidRDefault="00732BE8" w:rsidP="00D70265">
            <w:pPr>
              <w:spacing w:line="240" w:lineRule="auto"/>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 xml:space="preserve">Age &lt;60 </w:t>
            </w:r>
            <w:proofErr w:type="spellStart"/>
            <w:r w:rsidRPr="00224877">
              <w:rPr>
                <w:rFonts w:ascii="Times New Roman" w:eastAsia="Times New Roman" w:hAnsi="Times New Roman" w:cs="Times New Roman"/>
                <w:color w:val="000000"/>
                <w:sz w:val="14"/>
                <w:szCs w:val="14"/>
                <w:lang w:val="es-AR" w:eastAsia="es-MX"/>
              </w:rPr>
              <w:t>years</w:t>
            </w:r>
            <w:proofErr w:type="spellEnd"/>
          </w:p>
        </w:tc>
        <w:tc>
          <w:tcPr>
            <w:tcW w:w="2907" w:type="pct"/>
            <w:gridSpan w:val="7"/>
            <w:tcBorders>
              <w:bottom w:val="single" w:sz="4" w:space="0" w:color="B6DDE8" w:themeColor="accent5" w:themeTint="66"/>
            </w:tcBorders>
            <w:shd w:val="clear" w:color="auto" w:fill="auto"/>
            <w:noWrap/>
            <w:vAlign w:val="center"/>
            <w:hideMark/>
          </w:tcPr>
          <w:p w:rsidR="00732BE8" w:rsidRPr="00224877" w:rsidRDefault="00732BE8" w:rsidP="00D70265">
            <w:pPr>
              <w:spacing w:line="240" w:lineRule="auto"/>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w:t>
            </w:r>
          </w:p>
          <w:p w:rsidR="00732BE8" w:rsidRPr="00224877" w:rsidRDefault="00732BE8" w:rsidP="00D70265">
            <w:pPr>
              <w:spacing w:line="240" w:lineRule="auto"/>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0</w:t>
            </w:r>
          </w:p>
          <w:p w:rsidR="00732BE8" w:rsidRPr="00224877" w:rsidRDefault="00732BE8" w:rsidP="00D70265">
            <w:pPr>
              <w:spacing w:line="240" w:lineRule="auto"/>
              <w:rPr>
                <w:rFonts w:ascii="Times New Roman" w:eastAsia="Times New Roman" w:hAnsi="Times New Roman" w:cs="Times New Roman"/>
                <w:color w:val="000000"/>
                <w:sz w:val="14"/>
                <w:szCs w:val="14"/>
                <w:lang w:val="es-AR" w:eastAsia="es-MX"/>
              </w:rPr>
            </w:pPr>
          </w:p>
        </w:tc>
      </w:tr>
      <w:tr w:rsidR="00F60826" w:rsidRPr="00224877" w:rsidTr="00820826">
        <w:trPr>
          <w:trHeight w:val="300"/>
        </w:trPr>
        <w:tc>
          <w:tcPr>
            <w:tcW w:w="1287" w:type="pct"/>
            <w:tcBorders>
              <w:top w:val="single" w:sz="4" w:space="0" w:color="B6DDE8" w:themeColor="accent5" w:themeTint="66"/>
              <w:left w:val="single" w:sz="4" w:space="0" w:color="92CDDC"/>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proofErr w:type="spellStart"/>
            <w:r w:rsidRPr="00224877">
              <w:rPr>
                <w:rFonts w:ascii="Times New Roman" w:eastAsia="Times New Roman" w:hAnsi="Times New Roman" w:cs="Times New Roman"/>
                <w:bCs/>
                <w:color w:val="000000"/>
                <w:sz w:val="14"/>
                <w:szCs w:val="14"/>
                <w:lang w:val="es-AR" w:eastAsia="es-MX"/>
              </w:rPr>
              <w:t>sFGSI</w:t>
            </w:r>
            <w:proofErr w:type="spellEnd"/>
          </w:p>
        </w:tc>
        <w:tc>
          <w:tcPr>
            <w:tcW w:w="400"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High +4</w:t>
            </w:r>
          </w:p>
        </w:tc>
        <w:tc>
          <w:tcPr>
            <w:tcW w:w="406"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High +3</w:t>
            </w:r>
          </w:p>
        </w:tc>
        <w:tc>
          <w:tcPr>
            <w:tcW w:w="406"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High+2</w:t>
            </w:r>
          </w:p>
        </w:tc>
        <w:tc>
          <w:tcPr>
            <w:tcW w:w="451"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High +1</w:t>
            </w:r>
          </w:p>
        </w:tc>
        <w:tc>
          <w:tcPr>
            <w:tcW w:w="453"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Normal 0</w:t>
            </w:r>
          </w:p>
        </w:tc>
        <w:tc>
          <w:tcPr>
            <w:tcW w:w="383"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Low +1</w:t>
            </w:r>
          </w:p>
        </w:tc>
        <w:tc>
          <w:tcPr>
            <w:tcW w:w="406"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Low  +2</w:t>
            </w:r>
          </w:p>
        </w:tc>
        <w:tc>
          <w:tcPr>
            <w:tcW w:w="406"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Low  +3</w:t>
            </w:r>
          </w:p>
        </w:tc>
        <w:tc>
          <w:tcPr>
            <w:tcW w:w="402" w:type="pct"/>
            <w:tcBorders>
              <w:top w:val="single" w:sz="4" w:space="0" w:color="B6DDE8" w:themeColor="accent5" w:themeTint="66"/>
              <w:left w:val="single" w:sz="4" w:space="0" w:color="B6DDE8" w:themeColor="accent5" w:themeTint="66"/>
              <w:bottom w:val="single" w:sz="4" w:space="0" w:color="B6DDE8" w:themeColor="accent5" w:themeTint="66"/>
              <w:right w:val="single" w:sz="4" w:space="0" w:color="92CDDC"/>
            </w:tcBorders>
            <w:shd w:val="clear" w:color="auto" w:fill="92CDDC" w:themeFill="accent5" w:themeFillTint="99"/>
            <w:noWrap/>
            <w:vAlign w:val="center"/>
            <w:hideMark/>
          </w:tcPr>
          <w:p w:rsidR="00F60826" w:rsidRPr="00224877" w:rsidRDefault="00F60826" w:rsidP="00732BE8">
            <w:pPr>
              <w:spacing w:line="240" w:lineRule="auto"/>
              <w:jc w:val="both"/>
              <w:rPr>
                <w:rFonts w:ascii="Times New Roman" w:eastAsia="Times New Roman" w:hAnsi="Times New Roman" w:cs="Times New Roman"/>
                <w:bCs/>
                <w:color w:val="000000"/>
                <w:sz w:val="14"/>
                <w:szCs w:val="14"/>
                <w:lang w:val="es-AR" w:eastAsia="es-MX"/>
              </w:rPr>
            </w:pPr>
            <w:r w:rsidRPr="00224877">
              <w:rPr>
                <w:rFonts w:ascii="Times New Roman" w:eastAsia="Times New Roman" w:hAnsi="Times New Roman" w:cs="Times New Roman"/>
                <w:bCs/>
                <w:color w:val="000000"/>
                <w:sz w:val="14"/>
                <w:szCs w:val="14"/>
                <w:lang w:val="es-AR" w:eastAsia="es-MX"/>
              </w:rPr>
              <w:t>Low  +4</w:t>
            </w:r>
          </w:p>
        </w:tc>
      </w:tr>
      <w:tr w:rsidR="00F60826" w:rsidRPr="00224877" w:rsidTr="00820826">
        <w:trPr>
          <w:trHeight w:val="300"/>
        </w:trPr>
        <w:tc>
          <w:tcPr>
            <w:tcW w:w="1287"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Potasio sérico (mmol/L)</w:t>
            </w:r>
          </w:p>
        </w:tc>
        <w:tc>
          <w:tcPr>
            <w:tcW w:w="400"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≥7.0</w:t>
            </w:r>
          </w:p>
        </w:tc>
        <w:tc>
          <w:tcPr>
            <w:tcW w:w="406"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6–6.9</w:t>
            </w:r>
          </w:p>
        </w:tc>
        <w:tc>
          <w:tcPr>
            <w:tcW w:w="406"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1"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5.5–5.9</w:t>
            </w:r>
          </w:p>
        </w:tc>
        <w:tc>
          <w:tcPr>
            <w:tcW w:w="453"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3.5–5.4</w:t>
            </w:r>
          </w:p>
        </w:tc>
        <w:tc>
          <w:tcPr>
            <w:tcW w:w="383"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3–3.4</w:t>
            </w:r>
          </w:p>
        </w:tc>
        <w:tc>
          <w:tcPr>
            <w:tcW w:w="406"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2.5–2.9</w:t>
            </w:r>
          </w:p>
        </w:tc>
        <w:tc>
          <w:tcPr>
            <w:tcW w:w="406"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tcBorders>
              <w:top w:val="single" w:sz="4" w:space="0" w:color="B6DDE8" w:themeColor="accent5" w:themeTint="66"/>
            </w:tcBorders>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&lt;2.5</w:t>
            </w:r>
          </w:p>
        </w:tc>
      </w:tr>
      <w:tr w:rsidR="00224877" w:rsidRPr="00224877" w:rsidTr="00224877">
        <w:trPr>
          <w:trHeight w:val="300"/>
        </w:trPr>
        <w:tc>
          <w:tcPr>
            <w:tcW w:w="1287"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 xml:space="preserve">Creatinina sérica (mg/100 </w:t>
            </w:r>
            <w:proofErr w:type="spellStart"/>
            <w:r w:rsidRPr="00224877">
              <w:rPr>
                <w:rFonts w:ascii="Times New Roman" w:eastAsia="Times New Roman" w:hAnsi="Times New Roman" w:cs="Times New Roman"/>
                <w:color w:val="000000"/>
                <w:sz w:val="14"/>
                <w:szCs w:val="14"/>
                <w:lang w:val="es-AR" w:eastAsia="es-MX"/>
              </w:rPr>
              <w:t>mL</w:t>
            </w:r>
            <w:proofErr w:type="spellEnd"/>
            <w:r w:rsidRPr="00224877">
              <w:rPr>
                <w:rFonts w:ascii="Times New Roman" w:eastAsia="Times New Roman" w:hAnsi="Times New Roman" w:cs="Times New Roman"/>
                <w:color w:val="000000"/>
                <w:sz w:val="14"/>
                <w:szCs w:val="14"/>
                <w:lang w:val="es-AR" w:eastAsia="es-MX"/>
              </w:rPr>
              <w:t>)</w:t>
            </w:r>
          </w:p>
        </w:tc>
        <w:tc>
          <w:tcPr>
            <w:tcW w:w="400"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≥3.5</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2–3.4</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1.5–1.9</w:t>
            </w:r>
          </w:p>
        </w:tc>
        <w:tc>
          <w:tcPr>
            <w:tcW w:w="451"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5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0.6–1.4</w:t>
            </w:r>
          </w:p>
        </w:tc>
        <w:tc>
          <w:tcPr>
            <w:tcW w:w="383"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&lt;0.6</w:t>
            </w:r>
          </w:p>
        </w:tc>
        <w:tc>
          <w:tcPr>
            <w:tcW w:w="406"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auto"/>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r>
      <w:tr w:rsidR="00F60826" w:rsidRPr="00224877" w:rsidTr="00224877">
        <w:trPr>
          <w:trHeight w:val="300"/>
        </w:trPr>
        <w:tc>
          <w:tcPr>
            <w:tcW w:w="1287"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Hematocrito (HT) (%)</w:t>
            </w:r>
          </w:p>
        </w:tc>
        <w:tc>
          <w:tcPr>
            <w:tcW w:w="400"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≥60.0</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50–59.9</w:t>
            </w:r>
          </w:p>
        </w:tc>
        <w:tc>
          <w:tcPr>
            <w:tcW w:w="451"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46–49.9</w:t>
            </w:r>
          </w:p>
        </w:tc>
        <w:tc>
          <w:tcPr>
            <w:tcW w:w="45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30–45.9</w:t>
            </w:r>
          </w:p>
        </w:tc>
        <w:tc>
          <w:tcPr>
            <w:tcW w:w="383"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20–29.9</w:t>
            </w:r>
          </w:p>
        </w:tc>
        <w:tc>
          <w:tcPr>
            <w:tcW w:w="406"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w:t>
            </w:r>
          </w:p>
        </w:tc>
        <w:tc>
          <w:tcPr>
            <w:tcW w:w="402" w:type="pct"/>
            <w:shd w:val="clear" w:color="auto" w:fill="DAEEF3" w:themeFill="accent5" w:themeFillTint="33"/>
            <w:noWrap/>
            <w:vAlign w:val="center"/>
            <w:hideMark/>
          </w:tcPr>
          <w:p w:rsidR="00F60826" w:rsidRPr="00224877" w:rsidRDefault="00F60826" w:rsidP="00732BE8">
            <w:pPr>
              <w:spacing w:line="240" w:lineRule="auto"/>
              <w:jc w:val="both"/>
              <w:rPr>
                <w:rFonts w:ascii="Times New Roman" w:eastAsia="Times New Roman" w:hAnsi="Times New Roman" w:cs="Times New Roman"/>
                <w:color w:val="000000"/>
                <w:sz w:val="14"/>
                <w:szCs w:val="14"/>
                <w:lang w:val="es-AR" w:eastAsia="es-MX"/>
              </w:rPr>
            </w:pPr>
            <w:r w:rsidRPr="00224877">
              <w:rPr>
                <w:rFonts w:ascii="Times New Roman" w:eastAsia="Times New Roman" w:hAnsi="Times New Roman" w:cs="Times New Roman"/>
                <w:color w:val="000000"/>
                <w:sz w:val="14"/>
                <w:szCs w:val="14"/>
                <w:lang w:val="es-AR" w:eastAsia="es-MX"/>
              </w:rPr>
              <w:t>&lt;20.0</w:t>
            </w:r>
          </w:p>
        </w:tc>
      </w:tr>
    </w:tbl>
    <w:p w:rsidR="00F35F1D" w:rsidRPr="001943B9" w:rsidRDefault="00F35F1D" w:rsidP="00A25285">
      <w:pPr>
        <w:pStyle w:val="NormalWeb"/>
        <w:spacing w:before="0" w:beforeAutospacing="0" w:after="0" w:afterAutospacing="0"/>
        <w:jc w:val="both"/>
        <w:rPr>
          <w:sz w:val="16"/>
          <w:szCs w:val="16"/>
          <w:lang w:val="en-US"/>
        </w:rPr>
      </w:pPr>
    </w:p>
    <w:p w:rsidR="00F60826" w:rsidRDefault="00F60826" w:rsidP="002325C7">
      <w:pPr>
        <w:spacing w:line="240" w:lineRule="auto"/>
        <w:jc w:val="both"/>
        <w:rPr>
          <w:rFonts w:ascii="Times New Roman" w:eastAsia="Times New Roman" w:hAnsi="Times New Roman" w:cs="Times New Roman"/>
          <w:sz w:val="14"/>
          <w:szCs w:val="17"/>
          <w:lang w:val="en-US"/>
        </w:rPr>
        <w:sectPr w:rsidR="00F60826" w:rsidSect="00F60826">
          <w:type w:val="continuous"/>
          <w:pgSz w:w="12240" w:h="15840"/>
          <w:pgMar w:top="1440" w:right="1440" w:bottom="1440" w:left="1440" w:header="720" w:footer="720" w:gutter="0"/>
          <w:pgNumType w:start="1"/>
          <w:cols w:space="720"/>
        </w:sectPr>
      </w:pPr>
    </w:p>
    <w:p w:rsidR="00592B9F" w:rsidRDefault="00592B9F" w:rsidP="00F60826">
      <w:pPr>
        <w:pStyle w:val="NormalWeb"/>
        <w:jc w:val="center"/>
        <w:rPr>
          <w:rFonts w:eastAsia="Arial"/>
          <w:b/>
          <w:i/>
          <w:sz w:val="14"/>
          <w:lang w:val="en-US"/>
        </w:rPr>
      </w:pPr>
    </w:p>
    <w:p w:rsidR="00F60826" w:rsidRPr="00D51F20" w:rsidRDefault="00F60826" w:rsidP="00F60826">
      <w:pPr>
        <w:pStyle w:val="NormalWeb"/>
        <w:jc w:val="center"/>
        <w:rPr>
          <w:i/>
          <w:sz w:val="14"/>
          <w:lang w:val="en-US"/>
        </w:rPr>
      </w:pPr>
      <w:r w:rsidRPr="00D51F20">
        <w:rPr>
          <w:rFonts w:eastAsia="Arial"/>
          <w:b/>
          <w:i/>
          <w:sz w:val="14"/>
          <w:lang w:val="en-US"/>
        </w:rPr>
        <w:t>Table 2.</w:t>
      </w:r>
      <w:r w:rsidRPr="00D51F20">
        <w:rPr>
          <w:rFonts w:eastAsia="Arial"/>
          <w:i/>
          <w:sz w:val="14"/>
          <w:lang w:val="en-US"/>
        </w:rPr>
        <w:t xml:space="preserve"> </w:t>
      </w:r>
      <w:r w:rsidRPr="00D51F20">
        <w:rPr>
          <w:i/>
          <w:sz w:val="14"/>
          <w:lang w:val="en-US"/>
        </w:rPr>
        <w:t>Extent of gangrene by grade according to UFGSI</w:t>
      </w:r>
      <w:r w:rsidR="00261CF8">
        <w:rPr>
          <w:i/>
          <w:sz w:val="14"/>
          <w:lang w:val="en-US"/>
        </w:rPr>
        <w:t>.</w:t>
      </w:r>
    </w:p>
    <w:tbl>
      <w:tblPr>
        <w:tblW w:w="0" w:type="auto"/>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left w:w="0" w:type="dxa"/>
          <w:right w:w="0" w:type="dxa"/>
        </w:tblCellMar>
        <w:tblLook w:val="04A0" w:firstRow="1" w:lastRow="0" w:firstColumn="1" w:lastColumn="0" w:noHBand="0" w:noVBand="1"/>
      </w:tblPr>
      <w:tblGrid>
        <w:gridCol w:w="1035"/>
        <w:gridCol w:w="570"/>
        <w:gridCol w:w="615"/>
        <w:gridCol w:w="795"/>
        <w:gridCol w:w="855"/>
        <w:gridCol w:w="870"/>
        <w:gridCol w:w="930"/>
      </w:tblGrid>
      <w:tr w:rsidR="00F60826" w:rsidRPr="00482AE5" w:rsidTr="00CB6327">
        <w:trPr>
          <w:trHeight w:val="165"/>
          <w:jc w:val="center"/>
        </w:trPr>
        <w:tc>
          <w:tcPr>
            <w:tcW w:w="1035" w:type="dxa"/>
            <w:tcBorders>
              <w:right w:val="single" w:sz="4" w:space="0" w:color="B6DDE8" w:themeColor="accent5" w:themeTint="66"/>
            </w:tcBorders>
            <w:shd w:val="clear" w:color="auto" w:fill="92CDDC" w:themeFill="accent5" w:themeFillTint="99"/>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Grade (UFGSI)</w:t>
            </w:r>
          </w:p>
        </w:tc>
        <w:tc>
          <w:tcPr>
            <w:tcW w:w="57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bCs/>
                <w:color w:val="000000"/>
                <w:sz w:val="14"/>
                <w:szCs w:val="14"/>
                <w:lang w:val="es-AR" w:eastAsia="es-MX"/>
              </w:rPr>
            </w:pPr>
            <w:r w:rsidRPr="00261CF8">
              <w:rPr>
                <w:rFonts w:ascii="Times New Roman" w:eastAsia="Times New Roman" w:hAnsi="Times New Roman" w:cs="Times New Roman"/>
                <w:bCs/>
                <w:color w:val="000000"/>
                <w:sz w:val="14"/>
                <w:szCs w:val="14"/>
                <w:lang w:val="es-AR" w:eastAsia="es-MX"/>
              </w:rPr>
              <w:t>Total</w:t>
            </w:r>
          </w:p>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n</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bCs/>
                <w:color w:val="000000"/>
                <w:sz w:val="14"/>
                <w:szCs w:val="14"/>
                <w:lang w:val="es-AR" w:eastAsia="es-MX"/>
              </w:rPr>
            </w:pPr>
            <w:r w:rsidRPr="00261CF8">
              <w:rPr>
                <w:rFonts w:ascii="Times New Roman" w:eastAsia="Times New Roman" w:hAnsi="Times New Roman" w:cs="Times New Roman"/>
                <w:bCs/>
                <w:color w:val="000000"/>
                <w:sz w:val="14"/>
                <w:szCs w:val="14"/>
                <w:lang w:val="es-AR" w:eastAsia="es-MX"/>
              </w:rPr>
              <w:t>Total</w:t>
            </w:r>
          </w:p>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w:t>
            </w:r>
          </w:p>
        </w:tc>
        <w:tc>
          <w:tcPr>
            <w:tcW w:w="79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bCs/>
                <w:color w:val="000000"/>
                <w:sz w:val="14"/>
                <w:szCs w:val="14"/>
                <w:lang w:val="es-AR" w:eastAsia="es-MX"/>
              </w:rPr>
            </w:pPr>
            <w:proofErr w:type="spellStart"/>
            <w:r w:rsidRPr="00261CF8">
              <w:rPr>
                <w:rFonts w:ascii="Times New Roman" w:eastAsia="Times New Roman" w:hAnsi="Times New Roman" w:cs="Times New Roman"/>
                <w:bCs/>
                <w:color w:val="000000"/>
                <w:sz w:val="14"/>
                <w:szCs w:val="14"/>
                <w:lang w:val="es-AR" w:eastAsia="es-MX"/>
              </w:rPr>
              <w:t>Women</w:t>
            </w:r>
            <w:proofErr w:type="spellEnd"/>
          </w:p>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n</w:t>
            </w:r>
          </w:p>
        </w:tc>
        <w:tc>
          <w:tcPr>
            <w:tcW w:w="85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bCs/>
                <w:color w:val="000000"/>
                <w:sz w:val="14"/>
                <w:szCs w:val="14"/>
                <w:lang w:val="es-AR" w:eastAsia="es-MX"/>
              </w:rPr>
            </w:pPr>
            <w:proofErr w:type="spellStart"/>
            <w:r w:rsidRPr="00261CF8">
              <w:rPr>
                <w:rFonts w:ascii="Times New Roman" w:eastAsia="Times New Roman" w:hAnsi="Times New Roman" w:cs="Times New Roman"/>
                <w:bCs/>
                <w:color w:val="000000"/>
                <w:sz w:val="14"/>
                <w:szCs w:val="14"/>
                <w:lang w:val="es-AR" w:eastAsia="es-MX"/>
              </w:rPr>
              <w:t>Women</w:t>
            </w:r>
            <w:proofErr w:type="spellEnd"/>
          </w:p>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w:t>
            </w:r>
          </w:p>
        </w:tc>
        <w:tc>
          <w:tcPr>
            <w:tcW w:w="87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92CDDC" w:themeFill="accent5" w:themeFillTint="99"/>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bCs/>
                <w:color w:val="000000"/>
                <w:sz w:val="14"/>
                <w:szCs w:val="14"/>
                <w:lang w:val="es-AR" w:eastAsia="es-MX"/>
              </w:rPr>
            </w:pPr>
            <w:proofErr w:type="spellStart"/>
            <w:r w:rsidRPr="00261CF8">
              <w:rPr>
                <w:rFonts w:ascii="Times New Roman" w:eastAsia="Times New Roman" w:hAnsi="Times New Roman" w:cs="Times New Roman"/>
                <w:bCs/>
                <w:color w:val="000000"/>
                <w:sz w:val="14"/>
                <w:szCs w:val="14"/>
                <w:lang w:val="es-AR" w:eastAsia="es-MX"/>
              </w:rPr>
              <w:t>Men</w:t>
            </w:r>
            <w:proofErr w:type="spellEnd"/>
          </w:p>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n</w:t>
            </w:r>
          </w:p>
        </w:tc>
        <w:tc>
          <w:tcPr>
            <w:tcW w:w="930" w:type="dxa"/>
            <w:tcBorders>
              <w:left w:val="single" w:sz="4" w:space="0" w:color="B6DDE8" w:themeColor="accent5" w:themeTint="66"/>
            </w:tcBorders>
            <w:shd w:val="clear" w:color="auto" w:fill="92CDDC" w:themeFill="accent5" w:themeFillTint="99"/>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bCs/>
                <w:color w:val="000000"/>
                <w:sz w:val="14"/>
                <w:szCs w:val="14"/>
                <w:lang w:val="es-AR" w:eastAsia="es-MX"/>
              </w:rPr>
            </w:pPr>
            <w:proofErr w:type="spellStart"/>
            <w:r w:rsidRPr="00261CF8">
              <w:rPr>
                <w:rFonts w:ascii="Times New Roman" w:eastAsia="Times New Roman" w:hAnsi="Times New Roman" w:cs="Times New Roman"/>
                <w:bCs/>
                <w:color w:val="000000"/>
                <w:sz w:val="14"/>
                <w:szCs w:val="14"/>
                <w:lang w:val="es-AR" w:eastAsia="es-MX"/>
              </w:rPr>
              <w:t>Men</w:t>
            </w:r>
            <w:proofErr w:type="spellEnd"/>
          </w:p>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w:t>
            </w:r>
          </w:p>
        </w:tc>
      </w:tr>
      <w:tr w:rsidR="00F60826" w:rsidRPr="00482AE5" w:rsidTr="00CB6327">
        <w:trPr>
          <w:trHeight w:val="180"/>
          <w:jc w:val="center"/>
        </w:trPr>
        <w:tc>
          <w:tcPr>
            <w:tcW w:w="1035"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I</w:t>
            </w:r>
          </w:p>
        </w:tc>
        <w:tc>
          <w:tcPr>
            <w:tcW w:w="570" w:type="dxa"/>
            <w:tcBorders>
              <w:top w:val="single" w:sz="4" w:space="0" w:color="B6DDE8" w:themeColor="accent5" w:themeTint="66"/>
            </w:tcBorders>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19</w:t>
            </w:r>
          </w:p>
        </w:tc>
        <w:tc>
          <w:tcPr>
            <w:tcW w:w="615" w:type="dxa"/>
            <w:tcBorders>
              <w:top w:val="single" w:sz="4" w:space="0" w:color="B6DDE8" w:themeColor="accent5" w:themeTint="66"/>
            </w:tcBorders>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47.5</w:t>
            </w:r>
          </w:p>
        </w:tc>
        <w:tc>
          <w:tcPr>
            <w:tcW w:w="795" w:type="dxa"/>
            <w:tcBorders>
              <w:top w:val="single" w:sz="4" w:space="0" w:color="B6DDE8" w:themeColor="accent5" w:themeTint="66"/>
            </w:tcBorders>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5</w:t>
            </w:r>
          </w:p>
        </w:tc>
        <w:tc>
          <w:tcPr>
            <w:tcW w:w="855" w:type="dxa"/>
            <w:tcBorders>
              <w:top w:val="single" w:sz="4" w:space="0" w:color="B6DDE8" w:themeColor="accent5" w:themeTint="66"/>
            </w:tcBorders>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50.0</w:t>
            </w:r>
          </w:p>
        </w:tc>
        <w:tc>
          <w:tcPr>
            <w:tcW w:w="870" w:type="dxa"/>
            <w:tcBorders>
              <w:top w:val="single" w:sz="4" w:space="0" w:color="B6DDE8" w:themeColor="accent5" w:themeTint="66"/>
            </w:tcBorders>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14</w:t>
            </w:r>
          </w:p>
        </w:tc>
        <w:tc>
          <w:tcPr>
            <w:tcW w:w="930"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46.7</w:t>
            </w:r>
          </w:p>
        </w:tc>
      </w:tr>
      <w:tr w:rsidR="00F60826" w:rsidRPr="00482AE5" w:rsidTr="00CB6327">
        <w:trPr>
          <w:trHeight w:val="165"/>
          <w:jc w:val="center"/>
        </w:trPr>
        <w:tc>
          <w:tcPr>
            <w:tcW w:w="1035" w:type="dxa"/>
            <w:shd w:val="clear" w:color="auto" w:fill="auto"/>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II</w:t>
            </w:r>
          </w:p>
        </w:tc>
        <w:tc>
          <w:tcPr>
            <w:tcW w:w="570" w:type="dxa"/>
            <w:shd w:val="clear" w:color="auto" w:fill="auto"/>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12</w:t>
            </w:r>
          </w:p>
        </w:tc>
        <w:tc>
          <w:tcPr>
            <w:tcW w:w="615" w:type="dxa"/>
            <w:shd w:val="clear" w:color="auto" w:fill="auto"/>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30.0</w:t>
            </w:r>
          </w:p>
        </w:tc>
        <w:tc>
          <w:tcPr>
            <w:tcW w:w="795" w:type="dxa"/>
            <w:shd w:val="clear" w:color="auto" w:fill="auto"/>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1</w:t>
            </w:r>
          </w:p>
        </w:tc>
        <w:tc>
          <w:tcPr>
            <w:tcW w:w="855" w:type="dxa"/>
            <w:shd w:val="clear" w:color="auto" w:fill="auto"/>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10.0</w:t>
            </w:r>
          </w:p>
        </w:tc>
        <w:tc>
          <w:tcPr>
            <w:tcW w:w="870" w:type="dxa"/>
            <w:shd w:val="clear" w:color="auto" w:fill="auto"/>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11</w:t>
            </w:r>
          </w:p>
        </w:tc>
        <w:tc>
          <w:tcPr>
            <w:tcW w:w="930" w:type="dxa"/>
            <w:shd w:val="clear" w:color="auto" w:fill="auto"/>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36.7</w:t>
            </w:r>
          </w:p>
        </w:tc>
      </w:tr>
      <w:tr w:rsidR="00F60826" w:rsidRPr="00482AE5" w:rsidTr="00CB6327">
        <w:trPr>
          <w:trHeight w:val="165"/>
          <w:jc w:val="center"/>
        </w:trPr>
        <w:tc>
          <w:tcPr>
            <w:tcW w:w="1035"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bCs/>
                <w:color w:val="000000"/>
                <w:sz w:val="14"/>
                <w:szCs w:val="14"/>
                <w:lang w:val="es-AR" w:eastAsia="es-MX"/>
              </w:rPr>
              <w:t>III</w:t>
            </w:r>
          </w:p>
        </w:tc>
        <w:tc>
          <w:tcPr>
            <w:tcW w:w="570"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9</w:t>
            </w:r>
          </w:p>
        </w:tc>
        <w:tc>
          <w:tcPr>
            <w:tcW w:w="615"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22.5</w:t>
            </w:r>
          </w:p>
        </w:tc>
        <w:tc>
          <w:tcPr>
            <w:tcW w:w="795"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4</w:t>
            </w:r>
          </w:p>
        </w:tc>
        <w:tc>
          <w:tcPr>
            <w:tcW w:w="855"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40.0</w:t>
            </w:r>
          </w:p>
        </w:tc>
        <w:tc>
          <w:tcPr>
            <w:tcW w:w="870"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5</w:t>
            </w:r>
          </w:p>
        </w:tc>
        <w:tc>
          <w:tcPr>
            <w:tcW w:w="930" w:type="dxa"/>
            <w:shd w:val="clear" w:color="auto" w:fill="DAEEF3" w:themeFill="accent5" w:themeFillTint="33"/>
            <w:tcMar>
              <w:top w:w="60" w:type="dxa"/>
              <w:left w:w="60" w:type="dxa"/>
              <w:bottom w:w="60" w:type="dxa"/>
              <w:right w:w="60" w:type="dxa"/>
            </w:tcMar>
            <w:hideMark/>
          </w:tcPr>
          <w:p w:rsidR="00F60826" w:rsidRPr="00261CF8" w:rsidRDefault="00F60826" w:rsidP="00F60826">
            <w:pPr>
              <w:spacing w:line="240" w:lineRule="auto"/>
              <w:jc w:val="center"/>
              <w:rPr>
                <w:rFonts w:ascii="Times New Roman" w:eastAsia="Times New Roman" w:hAnsi="Times New Roman" w:cs="Times New Roman"/>
                <w:sz w:val="14"/>
                <w:szCs w:val="14"/>
                <w:lang w:val="es-AR" w:eastAsia="es-MX"/>
              </w:rPr>
            </w:pPr>
            <w:r w:rsidRPr="00261CF8">
              <w:rPr>
                <w:rFonts w:ascii="Times New Roman" w:eastAsia="Times New Roman" w:hAnsi="Times New Roman" w:cs="Times New Roman"/>
                <w:color w:val="000000"/>
                <w:sz w:val="14"/>
                <w:szCs w:val="14"/>
                <w:lang w:val="es-AR" w:eastAsia="es-MX"/>
              </w:rPr>
              <w:t>16.7</w:t>
            </w:r>
          </w:p>
        </w:tc>
      </w:tr>
    </w:tbl>
    <w:p w:rsidR="00A25285" w:rsidRDefault="00A25285" w:rsidP="00F60826">
      <w:pPr>
        <w:spacing w:line="240" w:lineRule="auto"/>
        <w:jc w:val="center"/>
        <w:rPr>
          <w:rFonts w:ascii="Times New Roman" w:eastAsia="Times New Roman" w:hAnsi="Times New Roman" w:cs="Times New Roman"/>
          <w:sz w:val="14"/>
          <w:szCs w:val="17"/>
          <w:lang w:val="en-US"/>
        </w:rPr>
      </w:pPr>
    </w:p>
    <w:p w:rsidR="00847829" w:rsidRDefault="00847829" w:rsidP="00F60826">
      <w:pPr>
        <w:spacing w:line="240" w:lineRule="auto"/>
        <w:jc w:val="center"/>
        <w:rPr>
          <w:rFonts w:ascii="Times New Roman" w:eastAsia="Times New Roman" w:hAnsi="Times New Roman" w:cs="Times New Roman"/>
          <w:sz w:val="14"/>
          <w:szCs w:val="17"/>
          <w:lang w:val="en-US"/>
        </w:rPr>
      </w:pPr>
    </w:p>
    <w:p w:rsidR="00847829" w:rsidRDefault="00847829" w:rsidP="00F60826">
      <w:pPr>
        <w:spacing w:line="240" w:lineRule="auto"/>
        <w:jc w:val="center"/>
        <w:rPr>
          <w:rFonts w:ascii="Times New Roman" w:eastAsia="Times New Roman" w:hAnsi="Times New Roman" w:cs="Times New Roman"/>
          <w:sz w:val="14"/>
          <w:szCs w:val="17"/>
          <w:lang w:val="en-US"/>
        </w:rPr>
      </w:pPr>
    </w:p>
    <w:p w:rsidR="00847829" w:rsidRDefault="00847829" w:rsidP="00F60826">
      <w:pPr>
        <w:spacing w:line="240" w:lineRule="auto"/>
        <w:jc w:val="center"/>
        <w:rPr>
          <w:rFonts w:ascii="Times New Roman" w:eastAsia="Times New Roman" w:hAnsi="Times New Roman" w:cs="Times New Roman"/>
          <w:sz w:val="14"/>
          <w:szCs w:val="17"/>
          <w:lang w:val="en-US"/>
        </w:rPr>
      </w:pPr>
    </w:p>
    <w:p w:rsidR="00B73659" w:rsidRPr="00D51F20" w:rsidRDefault="00B73659" w:rsidP="00B73659">
      <w:pPr>
        <w:pStyle w:val="NormalWeb"/>
        <w:jc w:val="center"/>
        <w:rPr>
          <w:rFonts w:eastAsia="Arial"/>
          <w:sz w:val="14"/>
          <w:szCs w:val="16"/>
          <w:lang w:val="en-US"/>
        </w:rPr>
      </w:pPr>
      <w:r w:rsidRPr="00D51F20">
        <w:rPr>
          <w:rFonts w:eastAsia="Arial"/>
          <w:b/>
          <w:i/>
          <w:sz w:val="14"/>
          <w:szCs w:val="16"/>
          <w:lang w:val="en-US"/>
        </w:rPr>
        <w:t>Table 3.</w:t>
      </w:r>
      <w:r w:rsidRPr="00D51F20">
        <w:rPr>
          <w:rFonts w:eastAsia="Arial"/>
          <w:i/>
          <w:sz w:val="14"/>
          <w:szCs w:val="16"/>
          <w:lang w:val="en-US"/>
        </w:rPr>
        <w:t xml:space="preserve"> </w:t>
      </w:r>
      <w:r w:rsidRPr="00D51F20">
        <w:rPr>
          <w:i/>
          <w:sz w:val="14"/>
          <w:szCs w:val="16"/>
          <w:lang w:val="en-US"/>
        </w:rPr>
        <w:t>Mortality analysis according to risk factors.</w:t>
      </w:r>
    </w:p>
    <w:tbl>
      <w:tblPr>
        <w:tblW w:w="5000" w:type="pct"/>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left w:w="0" w:type="dxa"/>
          <w:right w:w="0" w:type="dxa"/>
        </w:tblCellMar>
        <w:tblLook w:val="04A0" w:firstRow="1" w:lastRow="0" w:firstColumn="1" w:lastColumn="0" w:noHBand="0" w:noVBand="1"/>
      </w:tblPr>
      <w:tblGrid>
        <w:gridCol w:w="1530"/>
        <w:gridCol w:w="1262"/>
        <w:gridCol w:w="972"/>
        <w:gridCol w:w="838"/>
        <w:gridCol w:w="1034"/>
        <w:gridCol w:w="782"/>
        <w:gridCol w:w="675"/>
        <w:gridCol w:w="1105"/>
        <w:gridCol w:w="1152"/>
      </w:tblGrid>
      <w:tr w:rsidR="00B73659" w:rsidRPr="00D51F20" w:rsidTr="00A73972">
        <w:trPr>
          <w:trHeight w:val="539"/>
        </w:trPr>
        <w:tc>
          <w:tcPr>
            <w:tcW w:w="818" w:type="pct"/>
            <w:tcBorders>
              <w:right w:val="single" w:sz="4" w:space="0" w:color="B6DDE8" w:themeColor="accent5" w:themeTint="66"/>
            </w:tcBorders>
            <w:shd w:val="clear" w:color="auto" w:fill="92CDDC" w:themeFill="accent5" w:themeFillTint="99"/>
            <w:tcMar>
              <w:top w:w="30" w:type="dxa"/>
              <w:left w:w="45" w:type="dxa"/>
              <w:bottom w:w="30" w:type="dxa"/>
              <w:right w:w="45" w:type="dxa"/>
            </w:tcMar>
            <w:hideMark/>
          </w:tcPr>
          <w:p w:rsidR="00B73659" w:rsidRPr="00D51F20" w:rsidRDefault="00B73659" w:rsidP="00732BE8">
            <w:pPr>
              <w:spacing w:line="240" w:lineRule="auto"/>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lastRenderedPageBreak/>
              <w:t>Risk</w:t>
            </w:r>
            <w:proofErr w:type="spellEnd"/>
            <w:r w:rsidRPr="00D51F20">
              <w:rPr>
                <w:rFonts w:ascii="Times New Roman" w:hAnsi="Times New Roman" w:cs="Times New Roman"/>
                <w:bCs/>
                <w:sz w:val="14"/>
                <w:szCs w:val="16"/>
                <w:lang w:val="es-AR"/>
              </w:rPr>
              <w:t xml:space="preserve"> </w:t>
            </w:r>
            <w:proofErr w:type="spellStart"/>
            <w:r w:rsidRPr="00D51F20">
              <w:rPr>
                <w:rFonts w:ascii="Times New Roman" w:hAnsi="Times New Roman" w:cs="Times New Roman"/>
                <w:bCs/>
                <w:sz w:val="14"/>
                <w:szCs w:val="16"/>
                <w:lang w:val="es-AR"/>
              </w:rPr>
              <w:t>factors</w:t>
            </w:r>
            <w:proofErr w:type="spellEnd"/>
          </w:p>
        </w:tc>
        <w:tc>
          <w:tcPr>
            <w:tcW w:w="675" w:type="pct"/>
            <w:tcBorders>
              <w:left w:val="single" w:sz="4" w:space="0" w:color="B6DDE8" w:themeColor="accent5" w:themeTint="66"/>
              <w:right w:val="single" w:sz="4" w:space="0" w:color="B6DDE8" w:themeColor="accent5" w:themeTint="66"/>
            </w:tcBorders>
            <w:shd w:val="clear" w:color="auto" w:fill="92CDDC" w:themeFill="accent5" w:themeFillTint="99"/>
            <w:tcMar>
              <w:top w:w="30" w:type="dxa"/>
              <w:left w:w="45" w:type="dxa"/>
              <w:bottom w:w="30" w:type="dxa"/>
              <w:right w:w="45" w:type="dxa"/>
            </w:tcMar>
            <w:hideMark/>
          </w:tcPr>
          <w:p w:rsidR="00B73659" w:rsidRPr="00D51F20" w:rsidRDefault="00B73659" w:rsidP="00732BE8">
            <w:pPr>
              <w:spacing w:line="240" w:lineRule="auto"/>
              <w:jc w:val="center"/>
              <w:rPr>
                <w:rFonts w:ascii="Times New Roman" w:hAnsi="Times New Roman" w:cs="Times New Roman"/>
                <w:bCs/>
                <w:sz w:val="14"/>
                <w:szCs w:val="16"/>
                <w:lang w:val="es-AR"/>
              </w:rPr>
            </w:pPr>
            <w:r w:rsidRPr="00D51F20">
              <w:rPr>
                <w:rFonts w:ascii="Times New Roman" w:hAnsi="Times New Roman" w:cs="Times New Roman"/>
                <w:bCs/>
                <w:sz w:val="14"/>
                <w:szCs w:val="16"/>
                <w:lang w:val="es-AR"/>
              </w:rPr>
              <w:t>N</w:t>
            </w:r>
          </w:p>
        </w:tc>
        <w:tc>
          <w:tcPr>
            <w:tcW w:w="520" w:type="pct"/>
            <w:tcBorders>
              <w:left w:val="single" w:sz="4" w:space="0" w:color="B6DDE8" w:themeColor="accent5" w:themeTint="66"/>
              <w:right w:val="single" w:sz="4" w:space="0" w:color="B6DDE8" w:themeColor="accent5" w:themeTint="66"/>
            </w:tcBorders>
            <w:shd w:val="clear" w:color="auto" w:fill="92CDDC" w:themeFill="accent5" w:themeFillTint="99"/>
            <w:tcMar>
              <w:top w:w="30" w:type="dxa"/>
              <w:left w:w="45" w:type="dxa"/>
              <w:bottom w:w="30" w:type="dxa"/>
              <w:right w:w="45" w:type="dxa"/>
            </w:tcMar>
            <w:hideMark/>
          </w:tcPr>
          <w:p w:rsidR="00A73972" w:rsidRDefault="00B73659" w:rsidP="00732BE8">
            <w:pPr>
              <w:spacing w:line="240" w:lineRule="auto"/>
              <w:jc w:val="center"/>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t>Dead</w:t>
            </w:r>
            <w:proofErr w:type="spellEnd"/>
            <w:r w:rsidRPr="00D51F20">
              <w:rPr>
                <w:rFonts w:ascii="Times New Roman" w:hAnsi="Times New Roman" w:cs="Times New Roman"/>
                <w:bCs/>
                <w:sz w:val="14"/>
                <w:szCs w:val="16"/>
                <w:lang w:val="es-AR"/>
              </w:rPr>
              <w:t xml:space="preserve"> </w:t>
            </w:r>
          </w:p>
          <w:p w:rsidR="00B73659" w:rsidRPr="00D51F20" w:rsidRDefault="00B73659" w:rsidP="00732BE8">
            <w:pPr>
              <w:spacing w:line="240" w:lineRule="auto"/>
              <w:jc w:val="center"/>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t>without</w:t>
            </w:r>
            <w:proofErr w:type="spellEnd"/>
            <w:r w:rsidRPr="00D51F20">
              <w:rPr>
                <w:rFonts w:ascii="Times New Roman" w:hAnsi="Times New Roman" w:cs="Times New Roman"/>
                <w:bCs/>
                <w:sz w:val="14"/>
                <w:szCs w:val="16"/>
                <w:lang w:val="es-AR"/>
              </w:rPr>
              <w:t xml:space="preserve"> RF</w:t>
            </w:r>
          </w:p>
        </w:tc>
        <w:tc>
          <w:tcPr>
            <w:tcW w:w="448" w:type="pct"/>
            <w:tcBorders>
              <w:left w:val="single" w:sz="4" w:space="0" w:color="B6DDE8" w:themeColor="accent5" w:themeTint="66"/>
              <w:right w:val="single" w:sz="4" w:space="0" w:color="B6DDE8" w:themeColor="accent5" w:themeTint="66"/>
            </w:tcBorders>
            <w:shd w:val="clear" w:color="auto" w:fill="92CDDC" w:themeFill="accent5" w:themeFillTint="99"/>
            <w:tcMar>
              <w:top w:w="30" w:type="dxa"/>
              <w:left w:w="45" w:type="dxa"/>
              <w:bottom w:w="30" w:type="dxa"/>
              <w:right w:w="45" w:type="dxa"/>
            </w:tcMar>
            <w:hideMark/>
          </w:tcPr>
          <w:p w:rsidR="00B73659" w:rsidRPr="00D51F20" w:rsidRDefault="00B73659" w:rsidP="00732BE8">
            <w:pPr>
              <w:spacing w:line="240" w:lineRule="auto"/>
              <w:jc w:val="center"/>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t>Alive</w:t>
            </w:r>
            <w:proofErr w:type="spellEnd"/>
          </w:p>
          <w:p w:rsidR="00B73659" w:rsidRPr="00D51F20" w:rsidRDefault="00B73659" w:rsidP="00732BE8">
            <w:pPr>
              <w:spacing w:line="240" w:lineRule="auto"/>
              <w:jc w:val="center"/>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t>with</w:t>
            </w:r>
            <w:proofErr w:type="spellEnd"/>
            <w:r w:rsidRPr="00D51F20">
              <w:rPr>
                <w:rFonts w:ascii="Times New Roman" w:hAnsi="Times New Roman" w:cs="Times New Roman"/>
                <w:bCs/>
                <w:sz w:val="14"/>
                <w:szCs w:val="16"/>
                <w:lang w:val="es-AR"/>
              </w:rPr>
              <w:t xml:space="preserve"> RF</w:t>
            </w:r>
          </w:p>
        </w:tc>
        <w:tc>
          <w:tcPr>
            <w:tcW w:w="553" w:type="pct"/>
            <w:tcBorders>
              <w:left w:val="single" w:sz="4" w:space="0" w:color="B6DDE8" w:themeColor="accent5" w:themeTint="66"/>
              <w:right w:val="single" w:sz="4" w:space="0" w:color="B6DDE8" w:themeColor="accent5" w:themeTint="66"/>
            </w:tcBorders>
            <w:shd w:val="clear" w:color="auto" w:fill="92CDDC" w:themeFill="accent5" w:themeFillTint="99"/>
            <w:tcMar>
              <w:top w:w="30" w:type="dxa"/>
              <w:left w:w="45" w:type="dxa"/>
              <w:bottom w:w="30" w:type="dxa"/>
              <w:right w:w="45" w:type="dxa"/>
            </w:tcMar>
            <w:hideMark/>
          </w:tcPr>
          <w:p w:rsidR="00B73659" w:rsidRPr="00D51F20" w:rsidRDefault="00B73659" w:rsidP="00732BE8">
            <w:pPr>
              <w:spacing w:line="240" w:lineRule="auto"/>
              <w:jc w:val="center"/>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t>Dead</w:t>
            </w:r>
            <w:proofErr w:type="spellEnd"/>
          </w:p>
          <w:p w:rsidR="00B73659" w:rsidRPr="00D51F20" w:rsidRDefault="00B73659" w:rsidP="00732BE8">
            <w:pPr>
              <w:spacing w:line="240" w:lineRule="auto"/>
              <w:jc w:val="center"/>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t>without</w:t>
            </w:r>
            <w:proofErr w:type="spellEnd"/>
            <w:r w:rsidRPr="00D51F20">
              <w:rPr>
                <w:rFonts w:ascii="Times New Roman" w:hAnsi="Times New Roman" w:cs="Times New Roman"/>
                <w:bCs/>
                <w:sz w:val="14"/>
                <w:szCs w:val="16"/>
                <w:lang w:val="es-AR"/>
              </w:rPr>
              <w:t xml:space="preserve"> RF</w:t>
            </w:r>
          </w:p>
        </w:tc>
        <w:tc>
          <w:tcPr>
            <w:tcW w:w="418" w:type="pct"/>
            <w:tcBorders>
              <w:left w:val="single" w:sz="4" w:space="0" w:color="B6DDE8" w:themeColor="accent5" w:themeTint="66"/>
              <w:right w:val="single" w:sz="4" w:space="0" w:color="B6DDE8" w:themeColor="accent5" w:themeTint="66"/>
            </w:tcBorders>
            <w:shd w:val="clear" w:color="auto" w:fill="92CDDC" w:themeFill="accent5" w:themeFillTint="99"/>
            <w:tcMar>
              <w:top w:w="30" w:type="dxa"/>
              <w:left w:w="45" w:type="dxa"/>
              <w:bottom w:w="30" w:type="dxa"/>
              <w:right w:w="45" w:type="dxa"/>
            </w:tcMar>
            <w:hideMark/>
          </w:tcPr>
          <w:p w:rsidR="00B73659" w:rsidRPr="00D51F20" w:rsidRDefault="00B73659" w:rsidP="00732BE8">
            <w:pPr>
              <w:spacing w:line="240" w:lineRule="auto"/>
              <w:jc w:val="center"/>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t>Alive</w:t>
            </w:r>
            <w:proofErr w:type="spellEnd"/>
          </w:p>
          <w:p w:rsidR="00B73659" w:rsidRPr="00D51F20" w:rsidRDefault="00B73659" w:rsidP="00732BE8">
            <w:pPr>
              <w:spacing w:line="240" w:lineRule="auto"/>
              <w:jc w:val="center"/>
              <w:rPr>
                <w:rFonts w:ascii="Times New Roman" w:hAnsi="Times New Roman" w:cs="Times New Roman"/>
                <w:bCs/>
                <w:sz w:val="14"/>
                <w:szCs w:val="16"/>
                <w:lang w:val="es-AR"/>
              </w:rPr>
            </w:pPr>
            <w:proofErr w:type="spellStart"/>
            <w:r w:rsidRPr="00D51F20">
              <w:rPr>
                <w:rFonts w:ascii="Times New Roman" w:hAnsi="Times New Roman" w:cs="Times New Roman"/>
                <w:bCs/>
                <w:sz w:val="14"/>
                <w:szCs w:val="16"/>
                <w:lang w:val="es-AR"/>
              </w:rPr>
              <w:t>with</w:t>
            </w:r>
            <w:proofErr w:type="spellEnd"/>
            <w:r w:rsidRPr="00D51F20">
              <w:rPr>
                <w:rFonts w:ascii="Times New Roman" w:hAnsi="Times New Roman" w:cs="Times New Roman"/>
                <w:bCs/>
                <w:sz w:val="14"/>
                <w:szCs w:val="16"/>
                <w:lang w:val="es-AR"/>
              </w:rPr>
              <w:t xml:space="preserve"> RF</w:t>
            </w:r>
          </w:p>
        </w:tc>
        <w:tc>
          <w:tcPr>
            <w:tcW w:w="361" w:type="pct"/>
            <w:tcBorders>
              <w:left w:val="single" w:sz="4" w:space="0" w:color="B6DDE8" w:themeColor="accent5" w:themeTint="66"/>
              <w:right w:val="single" w:sz="4" w:space="0" w:color="B6DDE8" w:themeColor="accent5" w:themeTint="66"/>
            </w:tcBorders>
            <w:shd w:val="clear" w:color="auto" w:fill="92CDDC" w:themeFill="accent5" w:themeFillTint="99"/>
            <w:tcMar>
              <w:top w:w="30" w:type="dxa"/>
              <w:left w:w="45" w:type="dxa"/>
              <w:bottom w:w="30" w:type="dxa"/>
              <w:right w:w="45" w:type="dxa"/>
            </w:tcMar>
            <w:hideMark/>
          </w:tcPr>
          <w:p w:rsidR="00B73659" w:rsidRPr="00D51F20" w:rsidRDefault="00B73659" w:rsidP="00732BE8">
            <w:pPr>
              <w:spacing w:line="240" w:lineRule="auto"/>
              <w:jc w:val="center"/>
              <w:rPr>
                <w:rFonts w:ascii="Times New Roman" w:hAnsi="Times New Roman" w:cs="Times New Roman"/>
                <w:bCs/>
                <w:sz w:val="14"/>
                <w:szCs w:val="16"/>
                <w:lang w:val="es-AR"/>
              </w:rPr>
            </w:pPr>
            <w:r w:rsidRPr="00D51F20">
              <w:rPr>
                <w:rFonts w:ascii="Times New Roman" w:hAnsi="Times New Roman" w:cs="Times New Roman"/>
                <w:bCs/>
                <w:sz w:val="14"/>
                <w:szCs w:val="16"/>
                <w:lang w:val="es-AR"/>
              </w:rPr>
              <w:t>OR</w:t>
            </w:r>
          </w:p>
        </w:tc>
        <w:tc>
          <w:tcPr>
            <w:tcW w:w="591" w:type="pct"/>
            <w:tcBorders>
              <w:left w:val="single" w:sz="4" w:space="0" w:color="B6DDE8" w:themeColor="accent5" w:themeTint="66"/>
              <w:right w:val="single" w:sz="4" w:space="0" w:color="B6DDE8" w:themeColor="accent5" w:themeTint="66"/>
            </w:tcBorders>
            <w:shd w:val="clear" w:color="auto" w:fill="92CDDC" w:themeFill="accent5" w:themeFillTint="99"/>
            <w:tcMar>
              <w:top w:w="30" w:type="dxa"/>
              <w:left w:w="45" w:type="dxa"/>
              <w:bottom w:w="30" w:type="dxa"/>
              <w:right w:w="45" w:type="dxa"/>
            </w:tcMar>
            <w:hideMark/>
          </w:tcPr>
          <w:p w:rsidR="00B73659" w:rsidRPr="00D51F20" w:rsidRDefault="00B73659" w:rsidP="00732BE8">
            <w:pPr>
              <w:pStyle w:val="NormalWeb"/>
              <w:jc w:val="center"/>
              <w:rPr>
                <w:rFonts w:eastAsia="Arial"/>
                <w:bCs/>
                <w:sz w:val="14"/>
                <w:szCs w:val="16"/>
                <w:lang w:eastAsia="es-AR"/>
              </w:rPr>
            </w:pPr>
            <w:r w:rsidRPr="00D51F20">
              <w:rPr>
                <w:rFonts w:eastAsia="Arial"/>
                <w:bCs/>
                <w:sz w:val="14"/>
                <w:szCs w:val="16"/>
                <w:lang w:eastAsia="es-AR"/>
              </w:rPr>
              <w:t>SE</w:t>
            </w:r>
          </w:p>
          <w:p w:rsidR="00B73659" w:rsidRPr="00D51F20" w:rsidRDefault="00B73659" w:rsidP="00732BE8">
            <w:pPr>
              <w:spacing w:line="240" w:lineRule="auto"/>
              <w:jc w:val="center"/>
              <w:rPr>
                <w:rFonts w:ascii="Times New Roman" w:hAnsi="Times New Roman" w:cs="Times New Roman"/>
                <w:bCs/>
                <w:sz w:val="14"/>
                <w:szCs w:val="16"/>
                <w:lang w:val="es-AR"/>
              </w:rPr>
            </w:pPr>
          </w:p>
        </w:tc>
        <w:tc>
          <w:tcPr>
            <w:tcW w:w="616" w:type="pct"/>
            <w:tcBorders>
              <w:left w:val="single" w:sz="4" w:space="0" w:color="B6DDE8" w:themeColor="accent5" w:themeTint="66"/>
            </w:tcBorders>
            <w:shd w:val="clear" w:color="auto" w:fill="92CDDC" w:themeFill="accent5" w:themeFillTint="99"/>
            <w:tcMar>
              <w:top w:w="30" w:type="dxa"/>
              <w:left w:w="45" w:type="dxa"/>
              <w:bottom w:w="30" w:type="dxa"/>
              <w:right w:w="45" w:type="dxa"/>
            </w:tcMar>
            <w:hideMark/>
          </w:tcPr>
          <w:p w:rsidR="00B73659" w:rsidRPr="00D51F20" w:rsidRDefault="00B73659" w:rsidP="00732BE8">
            <w:pPr>
              <w:spacing w:line="240" w:lineRule="auto"/>
              <w:jc w:val="center"/>
              <w:rPr>
                <w:rFonts w:ascii="Times New Roman" w:hAnsi="Times New Roman" w:cs="Times New Roman"/>
                <w:bCs/>
                <w:sz w:val="14"/>
                <w:szCs w:val="16"/>
                <w:lang w:val="es-AR"/>
              </w:rPr>
            </w:pPr>
            <w:r w:rsidRPr="00D51F20">
              <w:rPr>
                <w:rFonts w:ascii="Times New Roman" w:hAnsi="Times New Roman" w:cs="Times New Roman"/>
                <w:bCs/>
                <w:sz w:val="14"/>
                <w:szCs w:val="16"/>
                <w:lang w:val="es-AR"/>
              </w:rPr>
              <w:t>95% CI</w:t>
            </w:r>
          </w:p>
        </w:tc>
      </w:tr>
      <w:tr w:rsidR="00B73659" w:rsidRPr="00D51F20" w:rsidTr="00A73972">
        <w:trPr>
          <w:trHeight w:val="315"/>
        </w:trPr>
        <w:tc>
          <w:tcPr>
            <w:tcW w:w="81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both"/>
              <w:rPr>
                <w:rFonts w:ascii="Times New Roman" w:hAnsi="Times New Roman" w:cs="Times New Roman"/>
                <w:sz w:val="14"/>
                <w:szCs w:val="16"/>
                <w:lang w:val="es-AR"/>
              </w:rPr>
            </w:pPr>
            <w:r w:rsidRPr="00D51F20">
              <w:rPr>
                <w:rFonts w:ascii="Times New Roman" w:hAnsi="Times New Roman" w:cs="Times New Roman"/>
                <w:sz w:val="14"/>
                <w:szCs w:val="16"/>
                <w:lang w:val="es-AR"/>
              </w:rPr>
              <w:t xml:space="preserve">&gt; 60 </w:t>
            </w:r>
            <w:proofErr w:type="spellStart"/>
            <w:r w:rsidRPr="00D51F20">
              <w:rPr>
                <w:rFonts w:ascii="Times New Roman" w:hAnsi="Times New Roman" w:cs="Times New Roman"/>
                <w:sz w:val="14"/>
                <w:szCs w:val="16"/>
                <w:lang w:val="es-AR"/>
              </w:rPr>
              <w:t>years</w:t>
            </w:r>
            <w:proofErr w:type="spellEnd"/>
          </w:p>
        </w:tc>
        <w:tc>
          <w:tcPr>
            <w:tcW w:w="675"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20</w:t>
            </w:r>
          </w:p>
        </w:tc>
        <w:tc>
          <w:tcPr>
            <w:tcW w:w="520"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9</w:t>
            </w:r>
          </w:p>
        </w:tc>
        <w:tc>
          <w:tcPr>
            <w:tcW w:w="44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11</w:t>
            </w:r>
          </w:p>
        </w:tc>
        <w:tc>
          <w:tcPr>
            <w:tcW w:w="553"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w:t>
            </w:r>
          </w:p>
        </w:tc>
        <w:tc>
          <w:tcPr>
            <w:tcW w:w="41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19</w:t>
            </w:r>
          </w:p>
        </w:tc>
        <w:tc>
          <w:tcPr>
            <w:tcW w:w="361"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15.55</w:t>
            </w:r>
          </w:p>
        </w:tc>
        <w:tc>
          <w:tcPr>
            <w:tcW w:w="591"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1.12</w:t>
            </w:r>
          </w:p>
        </w:tc>
        <w:tc>
          <w:tcPr>
            <w:tcW w:w="616"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1.63 - 139.42</w:t>
            </w:r>
          </w:p>
        </w:tc>
      </w:tr>
      <w:tr w:rsidR="00B73659" w:rsidRPr="00D51F20" w:rsidTr="00A73972">
        <w:trPr>
          <w:trHeight w:val="315"/>
        </w:trPr>
        <w:tc>
          <w:tcPr>
            <w:tcW w:w="818" w:type="pct"/>
            <w:shd w:val="clear" w:color="auto" w:fill="auto"/>
            <w:tcMar>
              <w:top w:w="30" w:type="dxa"/>
              <w:left w:w="45" w:type="dxa"/>
              <w:bottom w:w="30" w:type="dxa"/>
              <w:right w:w="45" w:type="dxa"/>
            </w:tcMar>
            <w:hideMark/>
          </w:tcPr>
          <w:p w:rsidR="00B73659" w:rsidRPr="00D51F20" w:rsidRDefault="00B73659" w:rsidP="00732BE8">
            <w:pPr>
              <w:pStyle w:val="NormalWeb"/>
              <w:rPr>
                <w:rFonts w:eastAsia="Arial"/>
                <w:sz w:val="14"/>
                <w:szCs w:val="16"/>
              </w:rPr>
            </w:pPr>
            <w:r w:rsidRPr="00D51F20">
              <w:rPr>
                <w:rFonts w:eastAsia="Arial"/>
                <w:sz w:val="14"/>
                <w:szCs w:val="16"/>
                <w:lang w:eastAsia="es-AR"/>
              </w:rPr>
              <w:t>Diabetes</w:t>
            </w:r>
          </w:p>
        </w:tc>
        <w:tc>
          <w:tcPr>
            <w:tcW w:w="675"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22</w:t>
            </w:r>
          </w:p>
        </w:tc>
        <w:tc>
          <w:tcPr>
            <w:tcW w:w="520"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6</w:t>
            </w:r>
          </w:p>
        </w:tc>
        <w:tc>
          <w:tcPr>
            <w:tcW w:w="448"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16</w:t>
            </w:r>
          </w:p>
        </w:tc>
        <w:tc>
          <w:tcPr>
            <w:tcW w:w="553"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4</w:t>
            </w:r>
          </w:p>
        </w:tc>
        <w:tc>
          <w:tcPr>
            <w:tcW w:w="418"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14</w:t>
            </w:r>
          </w:p>
        </w:tc>
        <w:tc>
          <w:tcPr>
            <w:tcW w:w="361"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1.31</w:t>
            </w:r>
          </w:p>
        </w:tc>
        <w:tc>
          <w:tcPr>
            <w:tcW w:w="591"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0.74</w:t>
            </w:r>
          </w:p>
        </w:tc>
        <w:tc>
          <w:tcPr>
            <w:tcW w:w="616"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0.31 - 5.62</w:t>
            </w:r>
          </w:p>
        </w:tc>
      </w:tr>
      <w:tr w:rsidR="00B73659" w:rsidRPr="00D51F20" w:rsidTr="00A73972">
        <w:trPr>
          <w:trHeight w:val="315"/>
        </w:trPr>
        <w:tc>
          <w:tcPr>
            <w:tcW w:w="818" w:type="pct"/>
            <w:shd w:val="clear" w:color="auto" w:fill="DAEEF3" w:themeFill="accent5" w:themeFillTint="33"/>
            <w:tcMar>
              <w:top w:w="30" w:type="dxa"/>
              <w:left w:w="45" w:type="dxa"/>
              <w:bottom w:w="30" w:type="dxa"/>
              <w:right w:w="45" w:type="dxa"/>
            </w:tcMar>
            <w:hideMark/>
          </w:tcPr>
          <w:p w:rsidR="00B73659" w:rsidRPr="00D51F20" w:rsidRDefault="00B73659" w:rsidP="00732BE8">
            <w:pPr>
              <w:spacing w:line="240" w:lineRule="auto"/>
              <w:jc w:val="both"/>
              <w:rPr>
                <w:rFonts w:ascii="Times New Roman" w:hAnsi="Times New Roman" w:cs="Times New Roman"/>
                <w:sz w:val="14"/>
                <w:szCs w:val="16"/>
                <w:lang w:val="es-AR"/>
              </w:rPr>
            </w:pPr>
            <w:r w:rsidRPr="00D51F20">
              <w:rPr>
                <w:rFonts w:ascii="Times New Roman" w:hAnsi="Times New Roman" w:cs="Times New Roman"/>
                <w:sz w:val="14"/>
                <w:szCs w:val="16"/>
                <w:lang w:val="es-AR"/>
              </w:rPr>
              <w:t xml:space="preserve">Cardiovascular </w:t>
            </w:r>
            <w:proofErr w:type="spellStart"/>
            <w:r w:rsidRPr="00D51F20">
              <w:rPr>
                <w:rFonts w:ascii="Times New Roman" w:hAnsi="Times New Roman" w:cs="Times New Roman"/>
                <w:sz w:val="14"/>
                <w:szCs w:val="16"/>
                <w:lang w:val="es-AR"/>
              </w:rPr>
              <w:t>history</w:t>
            </w:r>
            <w:proofErr w:type="spellEnd"/>
          </w:p>
        </w:tc>
        <w:tc>
          <w:tcPr>
            <w:tcW w:w="675"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19</w:t>
            </w:r>
          </w:p>
        </w:tc>
        <w:tc>
          <w:tcPr>
            <w:tcW w:w="520"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6</w:t>
            </w:r>
          </w:p>
        </w:tc>
        <w:tc>
          <w:tcPr>
            <w:tcW w:w="44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13</w:t>
            </w:r>
          </w:p>
        </w:tc>
        <w:tc>
          <w:tcPr>
            <w:tcW w:w="553"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4</w:t>
            </w:r>
          </w:p>
        </w:tc>
        <w:tc>
          <w:tcPr>
            <w:tcW w:w="41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17</w:t>
            </w:r>
          </w:p>
        </w:tc>
        <w:tc>
          <w:tcPr>
            <w:tcW w:w="361"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1.96</w:t>
            </w:r>
          </w:p>
        </w:tc>
        <w:tc>
          <w:tcPr>
            <w:tcW w:w="591"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0.74</w:t>
            </w:r>
          </w:p>
        </w:tc>
        <w:tc>
          <w:tcPr>
            <w:tcW w:w="616"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0.46 - 8.41</w:t>
            </w:r>
          </w:p>
        </w:tc>
      </w:tr>
      <w:tr w:rsidR="00B73659" w:rsidRPr="00D51F20" w:rsidTr="00A73972">
        <w:trPr>
          <w:trHeight w:val="315"/>
        </w:trPr>
        <w:tc>
          <w:tcPr>
            <w:tcW w:w="818" w:type="pct"/>
            <w:shd w:val="clear" w:color="auto" w:fill="auto"/>
            <w:tcMar>
              <w:top w:w="30" w:type="dxa"/>
              <w:left w:w="45" w:type="dxa"/>
              <w:bottom w:w="30" w:type="dxa"/>
              <w:right w:w="45" w:type="dxa"/>
            </w:tcMar>
            <w:hideMark/>
          </w:tcPr>
          <w:p w:rsidR="00B73659" w:rsidRPr="00D51F20" w:rsidRDefault="00B73659" w:rsidP="00732BE8">
            <w:pPr>
              <w:spacing w:line="240" w:lineRule="auto"/>
              <w:jc w:val="both"/>
              <w:rPr>
                <w:rFonts w:ascii="Times New Roman" w:hAnsi="Times New Roman" w:cs="Times New Roman"/>
                <w:sz w:val="14"/>
                <w:szCs w:val="16"/>
                <w:lang w:val="es-AR"/>
              </w:rPr>
            </w:pPr>
            <w:proofErr w:type="spellStart"/>
            <w:r w:rsidRPr="00D51F20">
              <w:rPr>
                <w:rFonts w:ascii="Times New Roman" w:hAnsi="Times New Roman" w:cs="Times New Roman"/>
                <w:sz w:val="14"/>
                <w:szCs w:val="16"/>
                <w:lang w:val="es-AR"/>
              </w:rPr>
              <w:t>Cancer</w:t>
            </w:r>
            <w:proofErr w:type="spellEnd"/>
            <w:r w:rsidRPr="00D51F20">
              <w:rPr>
                <w:rFonts w:ascii="Times New Roman" w:hAnsi="Times New Roman" w:cs="Times New Roman"/>
                <w:sz w:val="14"/>
                <w:szCs w:val="16"/>
                <w:lang w:val="es-AR"/>
              </w:rPr>
              <w:t xml:space="preserve"> </w:t>
            </w:r>
            <w:proofErr w:type="spellStart"/>
            <w:r w:rsidRPr="00D51F20">
              <w:rPr>
                <w:rFonts w:ascii="Times New Roman" w:hAnsi="Times New Roman" w:cs="Times New Roman"/>
                <w:sz w:val="14"/>
                <w:szCs w:val="16"/>
                <w:lang w:val="es-AR"/>
              </w:rPr>
              <w:t>history</w:t>
            </w:r>
            <w:proofErr w:type="spellEnd"/>
          </w:p>
        </w:tc>
        <w:tc>
          <w:tcPr>
            <w:tcW w:w="675"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9</w:t>
            </w:r>
          </w:p>
        </w:tc>
        <w:tc>
          <w:tcPr>
            <w:tcW w:w="520"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5</w:t>
            </w:r>
          </w:p>
        </w:tc>
        <w:tc>
          <w:tcPr>
            <w:tcW w:w="448"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4</w:t>
            </w:r>
          </w:p>
        </w:tc>
        <w:tc>
          <w:tcPr>
            <w:tcW w:w="553"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5</w:t>
            </w:r>
          </w:p>
        </w:tc>
        <w:tc>
          <w:tcPr>
            <w:tcW w:w="418"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26</w:t>
            </w:r>
          </w:p>
        </w:tc>
        <w:tc>
          <w:tcPr>
            <w:tcW w:w="361"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6.50</w:t>
            </w:r>
          </w:p>
        </w:tc>
        <w:tc>
          <w:tcPr>
            <w:tcW w:w="591"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0.83</w:t>
            </w:r>
          </w:p>
        </w:tc>
        <w:tc>
          <w:tcPr>
            <w:tcW w:w="616"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1.28 - 33.04</w:t>
            </w:r>
          </w:p>
        </w:tc>
      </w:tr>
      <w:tr w:rsidR="00B73659" w:rsidRPr="00D51F20" w:rsidTr="00A73972">
        <w:trPr>
          <w:trHeight w:val="315"/>
        </w:trPr>
        <w:tc>
          <w:tcPr>
            <w:tcW w:w="818" w:type="pct"/>
            <w:shd w:val="clear" w:color="auto" w:fill="DAEEF3" w:themeFill="accent5" w:themeFillTint="33"/>
            <w:tcMar>
              <w:top w:w="30" w:type="dxa"/>
              <w:left w:w="45" w:type="dxa"/>
              <w:bottom w:w="30" w:type="dxa"/>
              <w:right w:w="45" w:type="dxa"/>
            </w:tcMar>
            <w:hideMark/>
          </w:tcPr>
          <w:p w:rsidR="00B73659" w:rsidRPr="00D51F20" w:rsidRDefault="00B73659" w:rsidP="00732BE8">
            <w:pPr>
              <w:spacing w:line="240" w:lineRule="auto"/>
              <w:jc w:val="both"/>
              <w:rPr>
                <w:rFonts w:ascii="Times New Roman" w:hAnsi="Times New Roman" w:cs="Times New Roman"/>
                <w:sz w:val="14"/>
                <w:szCs w:val="16"/>
                <w:lang w:val="es-AR"/>
              </w:rPr>
            </w:pPr>
            <w:proofErr w:type="spellStart"/>
            <w:r w:rsidRPr="00D51F20">
              <w:rPr>
                <w:rFonts w:ascii="Times New Roman" w:hAnsi="Times New Roman" w:cs="Times New Roman"/>
                <w:sz w:val="14"/>
                <w:szCs w:val="16"/>
                <w:lang w:val="es-AR"/>
              </w:rPr>
              <w:t>Obesity</w:t>
            </w:r>
            <w:proofErr w:type="spellEnd"/>
          </w:p>
        </w:tc>
        <w:tc>
          <w:tcPr>
            <w:tcW w:w="675"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18</w:t>
            </w:r>
          </w:p>
        </w:tc>
        <w:tc>
          <w:tcPr>
            <w:tcW w:w="520"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3</w:t>
            </w:r>
          </w:p>
        </w:tc>
        <w:tc>
          <w:tcPr>
            <w:tcW w:w="44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15</w:t>
            </w:r>
          </w:p>
        </w:tc>
        <w:tc>
          <w:tcPr>
            <w:tcW w:w="553"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7</w:t>
            </w:r>
          </w:p>
        </w:tc>
        <w:tc>
          <w:tcPr>
            <w:tcW w:w="41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15</w:t>
            </w:r>
          </w:p>
        </w:tc>
        <w:tc>
          <w:tcPr>
            <w:tcW w:w="361"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0.43</w:t>
            </w:r>
          </w:p>
        </w:tc>
        <w:tc>
          <w:tcPr>
            <w:tcW w:w="591"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0.78</w:t>
            </w:r>
          </w:p>
        </w:tc>
        <w:tc>
          <w:tcPr>
            <w:tcW w:w="616" w:type="pct"/>
            <w:shd w:val="clear" w:color="auto" w:fill="DAEEF3" w:themeFill="accent5" w:themeFillTint="33"/>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0.09 - 2.0</w:t>
            </w:r>
          </w:p>
        </w:tc>
      </w:tr>
      <w:tr w:rsidR="00B73659" w:rsidRPr="00D51F20" w:rsidTr="00A73972">
        <w:trPr>
          <w:trHeight w:val="315"/>
        </w:trPr>
        <w:tc>
          <w:tcPr>
            <w:tcW w:w="818" w:type="pct"/>
            <w:shd w:val="clear" w:color="auto" w:fill="auto"/>
            <w:tcMar>
              <w:top w:w="30" w:type="dxa"/>
              <w:left w:w="45" w:type="dxa"/>
              <w:bottom w:w="30" w:type="dxa"/>
              <w:right w:w="45" w:type="dxa"/>
            </w:tcMar>
            <w:hideMark/>
          </w:tcPr>
          <w:p w:rsidR="00B73659" w:rsidRPr="00D51F20" w:rsidRDefault="00B73659" w:rsidP="00732BE8">
            <w:pPr>
              <w:spacing w:line="240" w:lineRule="auto"/>
              <w:jc w:val="both"/>
              <w:rPr>
                <w:rFonts w:ascii="Times New Roman" w:hAnsi="Times New Roman" w:cs="Times New Roman"/>
                <w:sz w:val="14"/>
                <w:szCs w:val="16"/>
                <w:lang w:val="es-AR"/>
              </w:rPr>
            </w:pPr>
            <w:r w:rsidRPr="00D51F20">
              <w:rPr>
                <w:rFonts w:ascii="Times New Roman" w:hAnsi="Times New Roman" w:cs="Times New Roman"/>
                <w:sz w:val="14"/>
                <w:szCs w:val="16"/>
                <w:lang w:val="es-AR"/>
              </w:rPr>
              <w:t>Smoking</w:t>
            </w:r>
          </w:p>
        </w:tc>
        <w:tc>
          <w:tcPr>
            <w:tcW w:w="675"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18</w:t>
            </w:r>
          </w:p>
        </w:tc>
        <w:tc>
          <w:tcPr>
            <w:tcW w:w="520"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w:t>
            </w:r>
          </w:p>
        </w:tc>
        <w:tc>
          <w:tcPr>
            <w:tcW w:w="448"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17</w:t>
            </w:r>
          </w:p>
        </w:tc>
        <w:tc>
          <w:tcPr>
            <w:tcW w:w="553"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9</w:t>
            </w:r>
          </w:p>
        </w:tc>
        <w:tc>
          <w:tcPr>
            <w:tcW w:w="418"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13</w:t>
            </w:r>
          </w:p>
        </w:tc>
        <w:tc>
          <w:tcPr>
            <w:tcW w:w="361"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0.08</w:t>
            </w:r>
          </w:p>
        </w:tc>
        <w:tc>
          <w:tcPr>
            <w:tcW w:w="591"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1.12</w:t>
            </w:r>
          </w:p>
        </w:tc>
        <w:tc>
          <w:tcPr>
            <w:tcW w:w="616" w:type="pct"/>
            <w:shd w:val="clear" w:color="auto" w:fill="auto"/>
            <w:tcMar>
              <w:top w:w="30" w:type="dxa"/>
              <w:left w:w="45" w:type="dxa"/>
              <w:bottom w:w="30" w:type="dxa"/>
              <w:right w:w="45" w:type="dxa"/>
            </w:tcMar>
            <w:vAlign w:val="center"/>
            <w:hideMark/>
          </w:tcPr>
          <w:p w:rsidR="00B73659" w:rsidRPr="00D51F20" w:rsidRDefault="00B73659" w:rsidP="00732BE8">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0.01 - 0.75</w:t>
            </w:r>
          </w:p>
        </w:tc>
      </w:tr>
      <w:tr w:rsidR="00B73659" w:rsidRPr="00D51F20" w:rsidTr="00A73972">
        <w:trPr>
          <w:trHeight w:val="315"/>
        </w:trPr>
        <w:tc>
          <w:tcPr>
            <w:tcW w:w="81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both"/>
              <w:rPr>
                <w:rFonts w:ascii="Times New Roman" w:hAnsi="Times New Roman" w:cs="Times New Roman"/>
                <w:sz w:val="14"/>
                <w:szCs w:val="16"/>
                <w:lang w:val="es-AR"/>
              </w:rPr>
            </w:pPr>
            <w:r w:rsidRPr="00D51F20">
              <w:rPr>
                <w:rFonts w:ascii="Times New Roman" w:hAnsi="Times New Roman" w:cs="Times New Roman"/>
                <w:sz w:val="14"/>
                <w:szCs w:val="16"/>
                <w:lang w:val="es-AR"/>
              </w:rPr>
              <w:t>HIV</w:t>
            </w:r>
          </w:p>
        </w:tc>
        <w:tc>
          <w:tcPr>
            <w:tcW w:w="675"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w:t>
            </w:r>
          </w:p>
        </w:tc>
        <w:tc>
          <w:tcPr>
            <w:tcW w:w="520"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w:t>
            </w:r>
          </w:p>
        </w:tc>
        <w:tc>
          <w:tcPr>
            <w:tcW w:w="44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w:t>
            </w:r>
          </w:p>
        </w:tc>
        <w:tc>
          <w:tcPr>
            <w:tcW w:w="553"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10</w:t>
            </w:r>
          </w:p>
        </w:tc>
        <w:tc>
          <w:tcPr>
            <w:tcW w:w="418"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39</w:t>
            </w:r>
          </w:p>
        </w:tc>
        <w:tc>
          <w:tcPr>
            <w:tcW w:w="361"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0.00</w:t>
            </w:r>
          </w:p>
        </w:tc>
        <w:tc>
          <w:tcPr>
            <w:tcW w:w="591"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w:t>
            </w:r>
          </w:p>
        </w:tc>
        <w:tc>
          <w:tcPr>
            <w:tcW w:w="616" w:type="pct"/>
            <w:shd w:val="clear" w:color="auto" w:fill="DAEEF3" w:themeFill="accent5" w:themeFillTint="33"/>
            <w:tcMar>
              <w:top w:w="30" w:type="dxa"/>
              <w:left w:w="45" w:type="dxa"/>
              <w:bottom w:w="30" w:type="dxa"/>
              <w:right w:w="45" w:type="dxa"/>
            </w:tcMar>
            <w:vAlign w:val="center"/>
            <w:hideMark/>
          </w:tcPr>
          <w:p w:rsidR="00B73659" w:rsidRPr="00D51F20" w:rsidRDefault="00B73659" w:rsidP="00A73972">
            <w:pPr>
              <w:spacing w:line="240" w:lineRule="auto"/>
              <w:jc w:val="center"/>
              <w:rPr>
                <w:rFonts w:ascii="Times New Roman" w:hAnsi="Times New Roman" w:cs="Times New Roman"/>
                <w:sz w:val="14"/>
                <w:szCs w:val="16"/>
                <w:lang w:val="es-AR"/>
              </w:rPr>
            </w:pPr>
            <w:r w:rsidRPr="00D51F20">
              <w:rPr>
                <w:rFonts w:ascii="Times New Roman" w:hAnsi="Times New Roman" w:cs="Times New Roman"/>
                <w:sz w:val="14"/>
                <w:szCs w:val="16"/>
                <w:lang w:val="es-AR"/>
              </w:rPr>
              <w:t>-</w:t>
            </w:r>
          </w:p>
        </w:tc>
      </w:tr>
    </w:tbl>
    <w:p w:rsidR="00B73659" w:rsidRDefault="00A73972" w:rsidP="00A73972">
      <w:pPr>
        <w:pStyle w:val="NormalWeb"/>
        <w:spacing w:before="0" w:beforeAutospacing="0" w:after="0" w:afterAutospacing="0"/>
        <w:rPr>
          <w:sz w:val="12"/>
          <w:lang w:val="en-US"/>
        </w:rPr>
      </w:pPr>
      <w:r>
        <w:rPr>
          <w:sz w:val="12"/>
          <w:lang w:val="en-US"/>
        </w:rPr>
        <w:t xml:space="preserve"> </w:t>
      </w:r>
      <w:r w:rsidR="00B73659" w:rsidRPr="00D51F20">
        <w:rPr>
          <w:sz w:val="12"/>
          <w:lang w:val="en-US"/>
        </w:rPr>
        <w:t>RF: risk factors. OR: odds ratio. SE: Standard error. CI: confidence interval.</w:t>
      </w:r>
    </w:p>
    <w:p w:rsidR="000159C7" w:rsidRDefault="000159C7" w:rsidP="00B73659">
      <w:pPr>
        <w:pStyle w:val="NormalWeb"/>
        <w:rPr>
          <w:sz w:val="12"/>
          <w:lang w:val="en-US"/>
        </w:rPr>
      </w:pPr>
    </w:p>
    <w:p w:rsidR="000159C7" w:rsidRDefault="000159C7" w:rsidP="000159C7">
      <w:pPr>
        <w:spacing w:line="240" w:lineRule="auto"/>
        <w:jc w:val="both"/>
        <w:rPr>
          <w:rFonts w:ascii="Times New Roman" w:hAnsi="Times New Roman" w:cs="Times New Roman"/>
          <w:b/>
          <w:sz w:val="18"/>
          <w:szCs w:val="16"/>
          <w:lang w:val="en-US"/>
        </w:rPr>
        <w:sectPr w:rsidR="000159C7" w:rsidSect="00F60826">
          <w:type w:val="continuous"/>
          <w:pgSz w:w="12240" w:h="15840"/>
          <w:pgMar w:top="1440" w:right="1440" w:bottom="1440" w:left="1440" w:header="720" w:footer="720" w:gutter="0"/>
          <w:pgNumType w:start="1"/>
          <w:cols w:space="720"/>
        </w:sectPr>
      </w:pPr>
    </w:p>
    <w:p w:rsidR="000159C7" w:rsidRPr="001943B9" w:rsidRDefault="000159C7" w:rsidP="000159C7">
      <w:pPr>
        <w:spacing w:line="240" w:lineRule="auto"/>
        <w:jc w:val="both"/>
        <w:rPr>
          <w:rFonts w:ascii="Times New Roman" w:hAnsi="Times New Roman" w:cs="Times New Roman"/>
          <w:b/>
          <w:sz w:val="18"/>
          <w:szCs w:val="16"/>
          <w:lang w:val="en-US"/>
        </w:rPr>
      </w:pPr>
      <w:r w:rsidRPr="001943B9">
        <w:rPr>
          <w:rFonts w:ascii="Times New Roman" w:hAnsi="Times New Roman" w:cs="Times New Roman"/>
          <w:b/>
          <w:sz w:val="18"/>
          <w:szCs w:val="16"/>
          <w:lang w:val="en-US"/>
        </w:rPr>
        <w:t>DISCUSSION</w:t>
      </w:r>
    </w:p>
    <w:p w:rsidR="000159C7" w:rsidRPr="001943B9" w:rsidRDefault="000159C7" w:rsidP="000159C7">
      <w:pPr>
        <w:spacing w:line="240" w:lineRule="auto"/>
        <w:jc w:val="both"/>
        <w:rPr>
          <w:rFonts w:ascii="Times New Roman" w:hAnsi="Times New Roman" w:cs="Times New Roman"/>
          <w:sz w:val="16"/>
          <w:szCs w:val="16"/>
          <w:lang w:val="en-US"/>
        </w:rPr>
      </w:pPr>
    </w:p>
    <w:p w:rsidR="000159C7" w:rsidRPr="001943B9" w:rsidRDefault="000159C7" w:rsidP="000159C7">
      <w:pPr>
        <w:spacing w:line="240" w:lineRule="auto"/>
        <w:jc w:val="both"/>
        <w:rPr>
          <w:rFonts w:ascii="Times New Roman" w:eastAsia="Times New Roman" w:hAnsi="Times New Roman" w:cs="Times New Roman"/>
          <w:sz w:val="16"/>
          <w:szCs w:val="16"/>
          <w:lang w:val="en-US"/>
        </w:rPr>
      </w:pPr>
      <w:bookmarkStart w:id="0" w:name="_heading=h.h2vxahb6jb1" w:colFirst="0" w:colLast="0"/>
      <w:bookmarkStart w:id="1" w:name="_heading=h.rpu82udpb692" w:colFirst="0" w:colLast="0"/>
      <w:bookmarkEnd w:id="0"/>
      <w:bookmarkEnd w:id="1"/>
      <w:r w:rsidRPr="001943B9">
        <w:rPr>
          <w:rFonts w:ascii="Times New Roman" w:eastAsia="Times New Roman" w:hAnsi="Times New Roman" w:cs="Times New Roman"/>
          <w:sz w:val="16"/>
          <w:szCs w:val="16"/>
          <w:lang w:val="en-US"/>
        </w:rPr>
        <w:t xml:space="preserve">Regarding the etiological agent, Fournier's gangrene is caused by a polymicrobial infection, primarily involving enterobacteria. The most common species is </w:t>
      </w:r>
      <w:r w:rsidRPr="001943B9">
        <w:rPr>
          <w:rFonts w:ascii="Times New Roman" w:eastAsia="Times New Roman" w:hAnsi="Times New Roman" w:cs="Times New Roman"/>
          <w:i/>
          <w:sz w:val="16"/>
          <w:szCs w:val="16"/>
          <w:lang w:val="en-US"/>
        </w:rPr>
        <w:t>Escherichia coli</w:t>
      </w:r>
      <w:r w:rsidRPr="001943B9">
        <w:rPr>
          <w:rFonts w:ascii="Times New Roman" w:eastAsia="Times New Roman" w:hAnsi="Times New Roman" w:cs="Times New Roman"/>
          <w:sz w:val="16"/>
          <w:szCs w:val="16"/>
          <w:lang w:val="en-US"/>
        </w:rPr>
        <w:t xml:space="preserve">, followed by other species, including </w:t>
      </w:r>
      <w:r w:rsidRPr="001943B9">
        <w:rPr>
          <w:rFonts w:ascii="Times New Roman" w:eastAsia="Times New Roman" w:hAnsi="Times New Roman" w:cs="Times New Roman"/>
          <w:i/>
          <w:sz w:val="16"/>
          <w:szCs w:val="16"/>
          <w:lang w:val="en-US"/>
        </w:rPr>
        <w:t>Staphylococcus, Pseudomonas, Klebsiella, Bacteroides, Proteus</w:t>
      </w:r>
      <w:r w:rsidRPr="001943B9">
        <w:rPr>
          <w:rFonts w:ascii="Times New Roman" w:eastAsia="Times New Roman" w:hAnsi="Times New Roman" w:cs="Times New Roman"/>
          <w:sz w:val="16"/>
          <w:szCs w:val="16"/>
          <w:lang w:val="en-US"/>
        </w:rPr>
        <w:t xml:space="preserve">, and </w:t>
      </w:r>
      <w:r w:rsidRPr="001943B9">
        <w:rPr>
          <w:rFonts w:ascii="Times New Roman" w:eastAsia="Times New Roman" w:hAnsi="Times New Roman" w:cs="Times New Roman"/>
          <w:i/>
          <w:sz w:val="16"/>
          <w:szCs w:val="16"/>
          <w:lang w:val="en-US"/>
        </w:rPr>
        <w:t>Acinetobacter</w:t>
      </w:r>
      <w:r w:rsidRPr="001943B9">
        <w:rPr>
          <w:rFonts w:ascii="Times New Roman" w:eastAsia="Times New Roman" w:hAnsi="Times New Roman" w:cs="Times New Roman"/>
          <w:sz w:val="16"/>
          <w:szCs w:val="16"/>
          <w:lang w:val="en-US"/>
        </w:rPr>
        <w:t xml:space="preserve">, among others. There is a higher probability of </w:t>
      </w:r>
      <w:r w:rsidRPr="001943B9">
        <w:rPr>
          <w:rFonts w:ascii="Times New Roman" w:eastAsia="Times New Roman" w:hAnsi="Times New Roman" w:cs="Times New Roman"/>
          <w:i/>
          <w:sz w:val="16"/>
          <w:szCs w:val="16"/>
          <w:lang w:val="en-US"/>
        </w:rPr>
        <w:t xml:space="preserve">Candida </w:t>
      </w:r>
      <w:r w:rsidRPr="001943B9">
        <w:rPr>
          <w:rFonts w:ascii="Times New Roman" w:eastAsia="Times New Roman" w:hAnsi="Times New Roman" w:cs="Times New Roman"/>
          <w:sz w:val="16"/>
          <w:szCs w:val="16"/>
          <w:lang w:val="en-US"/>
        </w:rPr>
        <w:t>infections in diabetic patients.⁷</w:t>
      </w:r>
      <w:r w:rsidRPr="001943B9">
        <w:rPr>
          <w:rFonts w:ascii="Times New Roman" w:eastAsia="Times New Roman" w:hAnsi="Times New Roman" w:cs="Times New Roman"/>
          <w:sz w:val="16"/>
          <w:szCs w:val="16"/>
          <w:vertAlign w:val="superscript"/>
          <w:lang w:val="en-US"/>
        </w:rPr>
        <w:t>,</w:t>
      </w:r>
      <w:r w:rsidRPr="001943B9">
        <w:rPr>
          <w:rFonts w:ascii="Times New Roman" w:eastAsia="Times New Roman" w:hAnsi="Times New Roman" w:cs="Times New Roman"/>
          <w:sz w:val="16"/>
          <w:szCs w:val="16"/>
          <w:lang w:val="en-US"/>
        </w:rPr>
        <w:t xml:space="preserve">⁸ In our population, Escherichia coli was the isolated microorganism in more than 50% of patients. The remaining were identified in advanced infections or in specific situations with multidrug-resistant infections. </w:t>
      </w:r>
      <w:r w:rsidRPr="001943B9">
        <w:rPr>
          <w:rFonts w:ascii="Times New Roman" w:eastAsia="Times New Roman" w:hAnsi="Times New Roman" w:cs="Times New Roman"/>
          <w:i/>
          <w:sz w:val="16"/>
          <w:szCs w:val="16"/>
          <w:lang w:val="en-US"/>
        </w:rPr>
        <w:t>Candida</w:t>
      </w:r>
      <w:r w:rsidRPr="001943B9">
        <w:rPr>
          <w:rFonts w:ascii="Times New Roman" w:eastAsia="Times New Roman" w:hAnsi="Times New Roman" w:cs="Times New Roman"/>
          <w:sz w:val="16"/>
          <w:szCs w:val="16"/>
          <w:lang w:val="en-US"/>
        </w:rPr>
        <w:t xml:space="preserve"> was found exclusively in diabetic patients.</w:t>
      </w:r>
    </w:p>
    <w:p w:rsidR="000159C7" w:rsidRPr="001943B9" w:rsidRDefault="000159C7" w:rsidP="000159C7">
      <w:pPr>
        <w:spacing w:line="240" w:lineRule="auto"/>
        <w:jc w:val="both"/>
        <w:rPr>
          <w:rFonts w:ascii="Times New Roman" w:eastAsia="Times New Roman" w:hAnsi="Times New Roman" w:cs="Times New Roman"/>
          <w:sz w:val="16"/>
          <w:szCs w:val="16"/>
          <w:lang w:val="en-US"/>
        </w:rPr>
      </w:pPr>
      <w:bookmarkStart w:id="2" w:name="_heading=h.kbunbqmti1fn" w:colFirst="0" w:colLast="0"/>
      <w:bookmarkEnd w:id="2"/>
      <w:r w:rsidRPr="001943B9">
        <w:rPr>
          <w:rFonts w:ascii="Times New Roman" w:eastAsia="Times New Roman" w:hAnsi="Times New Roman" w:cs="Times New Roman"/>
          <w:sz w:val="16"/>
          <w:szCs w:val="16"/>
          <w:lang w:val="en-US"/>
        </w:rPr>
        <w:t>When analyzing the gender variable, a higher frequency is observed in men (10 to 1), although its occurrence in women is also significant.</w:t>
      </w:r>
      <w:r w:rsidRPr="001943B9">
        <w:rPr>
          <w:rFonts w:ascii="Times New Roman" w:eastAsia="Times New Roman" w:hAnsi="Times New Roman" w:cs="Times New Roman"/>
          <w:sz w:val="16"/>
          <w:szCs w:val="16"/>
          <w:vertAlign w:val="superscript"/>
          <w:lang w:val="en-US"/>
        </w:rPr>
        <w:t>3</w:t>
      </w:r>
      <w:r w:rsidRPr="001943B9">
        <w:rPr>
          <w:rFonts w:ascii="Times New Roman" w:eastAsia="Times New Roman" w:hAnsi="Times New Roman" w:cs="Times New Roman"/>
          <w:sz w:val="16"/>
          <w:szCs w:val="16"/>
          <w:lang w:val="en-US"/>
        </w:rPr>
        <w:t xml:space="preserve"> In line with </w:t>
      </w:r>
      <w:proofErr w:type="spellStart"/>
      <w:r w:rsidRPr="001943B9">
        <w:rPr>
          <w:rFonts w:ascii="Times New Roman" w:eastAsia="Times New Roman" w:hAnsi="Times New Roman" w:cs="Times New Roman"/>
          <w:sz w:val="16"/>
          <w:szCs w:val="16"/>
          <w:lang w:val="en-US"/>
        </w:rPr>
        <w:t>Eğin</w:t>
      </w:r>
      <w:proofErr w:type="spellEnd"/>
      <w:r w:rsidRPr="001943B9">
        <w:rPr>
          <w:rFonts w:ascii="Times New Roman" w:eastAsia="Times New Roman" w:hAnsi="Times New Roman" w:cs="Times New Roman"/>
          <w:sz w:val="16"/>
          <w:szCs w:val="16"/>
          <w:lang w:val="en-US"/>
        </w:rPr>
        <w:t xml:space="preserve"> S. et al.,</w:t>
      </w:r>
      <w:r w:rsidRPr="001943B9">
        <w:rPr>
          <w:rFonts w:ascii="Times New Roman" w:eastAsia="Times New Roman" w:hAnsi="Times New Roman" w:cs="Times New Roman"/>
          <w:sz w:val="16"/>
          <w:szCs w:val="16"/>
          <w:vertAlign w:val="superscript"/>
          <w:lang w:val="en-US"/>
        </w:rPr>
        <w:t>¹</w:t>
      </w:r>
      <w:r w:rsidRPr="001943B9">
        <w:rPr>
          <w:rFonts w:ascii="Times New Roman" w:eastAsia="Times New Roman" w:hAnsi="Times New Roman" w:cs="Times New Roman"/>
          <w:sz w:val="16"/>
          <w:szCs w:val="16"/>
          <w:lang w:val="en-US"/>
        </w:rPr>
        <w:t xml:space="preserve"> we observed a mortality rate more than twice as high in women. Regarding age, while it can affect all age groups, we concur with the findings of </w:t>
      </w:r>
      <w:proofErr w:type="spellStart"/>
      <w:r w:rsidRPr="001943B9">
        <w:rPr>
          <w:rFonts w:ascii="Times New Roman" w:eastAsia="Times New Roman" w:hAnsi="Times New Roman" w:cs="Times New Roman"/>
          <w:sz w:val="16"/>
          <w:szCs w:val="16"/>
          <w:lang w:val="en-US"/>
        </w:rPr>
        <w:t>Yilmazlar</w:t>
      </w:r>
      <w:proofErr w:type="spellEnd"/>
      <w:r w:rsidRPr="001943B9">
        <w:rPr>
          <w:rFonts w:ascii="Times New Roman" w:eastAsia="Times New Roman" w:hAnsi="Times New Roman" w:cs="Times New Roman"/>
          <w:sz w:val="16"/>
          <w:szCs w:val="16"/>
          <w:lang w:val="en-US"/>
        </w:rPr>
        <w:t xml:space="preserve"> et al.⁵ that individuals over 60 years of age are more susceptible to mortality.</w:t>
      </w:r>
    </w:p>
    <w:p w:rsidR="000159C7" w:rsidRPr="001943B9" w:rsidRDefault="000159C7" w:rsidP="000159C7">
      <w:pPr>
        <w:pStyle w:val="NormalWeb"/>
        <w:spacing w:before="0" w:beforeAutospacing="0" w:after="0" w:afterAutospacing="0"/>
        <w:jc w:val="both"/>
        <w:rPr>
          <w:sz w:val="16"/>
          <w:szCs w:val="16"/>
          <w:lang w:val="en-US"/>
        </w:rPr>
      </w:pPr>
      <w:r w:rsidRPr="001943B9">
        <w:rPr>
          <w:sz w:val="16"/>
          <w:szCs w:val="16"/>
          <w:lang w:val="en-US"/>
        </w:rPr>
        <w:t>The presence of comorbidities such as diabetes, alcoholism, immunodeficiency, trauma or genitourinary diseases is associated with a higher mortality rate among patients with Fournier's gangrene.</w:t>
      </w:r>
      <w:r w:rsidRPr="001943B9">
        <w:rPr>
          <w:sz w:val="16"/>
          <w:szCs w:val="16"/>
          <w:vertAlign w:val="superscript"/>
          <w:lang w:val="en-US"/>
        </w:rPr>
        <w:t>9</w:t>
      </w:r>
      <w:r w:rsidRPr="001943B9">
        <w:rPr>
          <w:sz w:val="16"/>
          <w:szCs w:val="16"/>
          <w:lang w:val="en-US"/>
        </w:rPr>
        <w:t xml:space="preserve"> In our study, however, we were unable to demonstrate a causal relationship between diabetes and mortality from Fournier's gangrene. In line with the findings of </w:t>
      </w:r>
      <w:proofErr w:type="spellStart"/>
      <w:r w:rsidRPr="001943B9">
        <w:rPr>
          <w:sz w:val="16"/>
          <w:szCs w:val="16"/>
          <w:lang w:val="en-US"/>
        </w:rPr>
        <w:t>Eğin</w:t>
      </w:r>
      <w:proofErr w:type="spellEnd"/>
      <w:r w:rsidRPr="001943B9">
        <w:rPr>
          <w:sz w:val="16"/>
          <w:szCs w:val="16"/>
          <w:lang w:val="en-US"/>
        </w:rPr>
        <w:t xml:space="preserve"> et al.,¹ we observed that patients with a history of cancer are at a higher risk of mortality. Furthermore, we found that this risk doubles when three or more risk factors are present. Both of these findings are statistically significant.</w:t>
      </w:r>
    </w:p>
    <w:p w:rsidR="000159C7" w:rsidRPr="001943B9" w:rsidRDefault="000159C7" w:rsidP="000159C7">
      <w:pPr>
        <w:pStyle w:val="NormalWeb"/>
        <w:spacing w:before="0" w:beforeAutospacing="0" w:after="0" w:afterAutospacing="0"/>
        <w:jc w:val="both"/>
        <w:rPr>
          <w:sz w:val="16"/>
          <w:szCs w:val="16"/>
          <w:lang w:val="en-US"/>
        </w:rPr>
      </w:pPr>
      <w:r w:rsidRPr="001943B9">
        <w:rPr>
          <w:sz w:val="16"/>
          <w:szCs w:val="16"/>
          <w:lang w:val="en-US"/>
        </w:rPr>
        <w:t>In our study, there was only one patient with HIV, so it was not possible to conclude in this regard.</w:t>
      </w:r>
    </w:p>
    <w:p w:rsidR="000159C7" w:rsidRPr="001943B9" w:rsidRDefault="000159C7" w:rsidP="000159C7">
      <w:pPr>
        <w:pStyle w:val="NormalWeb"/>
        <w:spacing w:before="0" w:beforeAutospacing="0" w:after="0" w:afterAutospacing="0"/>
        <w:jc w:val="both"/>
        <w:rPr>
          <w:sz w:val="16"/>
          <w:szCs w:val="16"/>
          <w:lang w:val="en-US"/>
        </w:rPr>
      </w:pPr>
      <w:r w:rsidRPr="001943B9">
        <w:rPr>
          <w:sz w:val="16"/>
          <w:szCs w:val="16"/>
          <w:lang w:val="en-US"/>
        </w:rPr>
        <w:t xml:space="preserve">In 2023, a systematic review and meta-analysis comparing FGSI, UFGSI, and </w:t>
      </w:r>
      <w:proofErr w:type="spellStart"/>
      <w:r w:rsidRPr="001943B9">
        <w:rPr>
          <w:sz w:val="16"/>
          <w:szCs w:val="16"/>
          <w:lang w:val="en-US"/>
        </w:rPr>
        <w:t>sFGSI</w:t>
      </w:r>
      <w:proofErr w:type="spellEnd"/>
      <w:r w:rsidRPr="001943B9">
        <w:rPr>
          <w:sz w:val="16"/>
          <w:szCs w:val="16"/>
          <w:lang w:val="en-US"/>
        </w:rPr>
        <w:t xml:space="preserve"> was published (40 studies; 2,257 patients).⁷ Overall, scores were higher in non-survivors. For FGSI, sensitivity ranged from 69% to 100%, and specificity ranged from 57% to 97%. In the original series by </w:t>
      </w:r>
      <w:proofErr w:type="spellStart"/>
      <w:r w:rsidRPr="001943B9">
        <w:rPr>
          <w:sz w:val="16"/>
          <w:szCs w:val="16"/>
          <w:lang w:val="en-US"/>
        </w:rPr>
        <w:t>Laor</w:t>
      </w:r>
      <w:proofErr w:type="spellEnd"/>
      <w:r w:rsidRPr="001943B9">
        <w:rPr>
          <w:sz w:val="16"/>
          <w:szCs w:val="16"/>
          <w:lang w:val="en-US"/>
        </w:rPr>
        <w:t xml:space="preserve"> et al.,³ a sensitivity of 75% was reported. In our cohort, the FGSI achieved 90% sensitivity and 93.3% specificity, which is higher than what was reported by </w:t>
      </w:r>
      <w:proofErr w:type="spellStart"/>
      <w:r w:rsidRPr="001943B9">
        <w:rPr>
          <w:sz w:val="16"/>
          <w:szCs w:val="16"/>
          <w:lang w:val="en-US"/>
        </w:rPr>
        <w:t>Eğin</w:t>
      </w:r>
      <w:proofErr w:type="spellEnd"/>
      <w:r w:rsidRPr="001943B9">
        <w:rPr>
          <w:sz w:val="16"/>
          <w:szCs w:val="16"/>
          <w:lang w:val="en-US"/>
        </w:rPr>
        <w:t xml:space="preserve"> et al.¹ (82% and 58%, respectively).</w:t>
      </w:r>
    </w:p>
    <w:p w:rsidR="000159C7" w:rsidRPr="001943B9" w:rsidRDefault="000159C7" w:rsidP="000159C7">
      <w:pPr>
        <w:pStyle w:val="NormalWeb"/>
        <w:spacing w:before="0" w:beforeAutospacing="0" w:after="0" w:afterAutospacing="0"/>
        <w:jc w:val="both"/>
        <w:rPr>
          <w:sz w:val="16"/>
          <w:szCs w:val="16"/>
          <w:lang w:val="en-US"/>
        </w:rPr>
      </w:pPr>
      <w:r w:rsidRPr="001943B9">
        <w:rPr>
          <w:sz w:val="16"/>
          <w:szCs w:val="16"/>
          <w:lang w:val="en-US"/>
        </w:rPr>
        <w:t xml:space="preserve">The UFGSI, developed by </w:t>
      </w:r>
      <w:proofErr w:type="spellStart"/>
      <w:r w:rsidRPr="001943B9">
        <w:rPr>
          <w:sz w:val="16"/>
          <w:szCs w:val="16"/>
          <w:lang w:val="en-US"/>
        </w:rPr>
        <w:t>Yilmazlar</w:t>
      </w:r>
      <w:proofErr w:type="spellEnd"/>
      <w:r w:rsidRPr="001943B9">
        <w:rPr>
          <w:sz w:val="16"/>
          <w:szCs w:val="16"/>
          <w:lang w:val="en-US"/>
        </w:rPr>
        <w:t xml:space="preserve"> et al. (2010),</w:t>
      </w:r>
      <w:r w:rsidRPr="001943B9">
        <w:rPr>
          <w:sz w:val="16"/>
          <w:szCs w:val="16"/>
          <w:vertAlign w:val="superscript"/>
          <w:lang w:val="en-US"/>
        </w:rPr>
        <w:t>5</w:t>
      </w:r>
      <w:r w:rsidRPr="001943B9">
        <w:rPr>
          <w:sz w:val="16"/>
          <w:szCs w:val="16"/>
          <w:lang w:val="en-US"/>
        </w:rPr>
        <w:t xml:space="preserve"> demonstrated a sensitivity of 95% in its original publication. Subsequent studies reported rates of 91%/85% (</w:t>
      </w:r>
      <w:proofErr w:type="spellStart"/>
      <w:r w:rsidRPr="001943B9">
        <w:rPr>
          <w:sz w:val="16"/>
          <w:szCs w:val="16"/>
          <w:lang w:val="en-US"/>
        </w:rPr>
        <w:t>Tufano</w:t>
      </w:r>
      <w:proofErr w:type="spellEnd"/>
      <w:r w:rsidRPr="001943B9">
        <w:rPr>
          <w:sz w:val="16"/>
          <w:szCs w:val="16"/>
          <w:lang w:val="en-US"/>
        </w:rPr>
        <w:t xml:space="preserve"> et al.)⁷ and 100%/68% (</w:t>
      </w:r>
      <w:proofErr w:type="spellStart"/>
      <w:r w:rsidRPr="001943B9">
        <w:rPr>
          <w:sz w:val="16"/>
          <w:szCs w:val="16"/>
          <w:lang w:val="en-US"/>
        </w:rPr>
        <w:t>Eğin</w:t>
      </w:r>
      <w:proofErr w:type="spellEnd"/>
      <w:r w:rsidRPr="001943B9">
        <w:rPr>
          <w:sz w:val="16"/>
          <w:szCs w:val="16"/>
          <w:lang w:val="en-US"/>
        </w:rPr>
        <w:t xml:space="preserve"> et al.).¹ In our series, the UFGSI had a sensitivity of 100% and a specificity of 76%.</w:t>
      </w:r>
    </w:p>
    <w:p w:rsidR="000159C7" w:rsidRPr="001943B9" w:rsidRDefault="000159C7" w:rsidP="000159C7">
      <w:pPr>
        <w:pStyle w:val="NormalWeb"/>
        <w:spacing w:before="0" w:beforeAutospacing="0" w:after="0" w:afterAutospacing="0"/>
        <w:jc w:val="both"/>
        <w:rPr>
          <w:sz w:val="16"/>
          <w:szCs w:val="16"/>
          <w:lang w:val="en-US"/>
        </w:rPr>
      </w:pPr>
      <w:r w:rsidRPr="001943B9">
        <w:rPr>
          <w:sz w:val="16"/>
          <w:szCs w:val="16"/>
          <w:lang w:val="en-US"/>
        </w:rPr>
        <w:t xml:space="preserve">The </w:t>
      </w:r>
      <w:proofErr w:type="spellStart"/>
      <w:r w:rsidRPr="001943B9">
        <w:rPr>
          <w:sz w:val="16"/>
          <w:szCs w:val="16"/>
          <w:lang w:val="en-US"/>
        </w:rPr>
        <w:t>sFGSI</w:t>
      </w:r>
      <w:proofErr w:type="spellEnd"/>
      <w:r w:rsidRPr="001943B9">
        <w:rPr>
          <w:sz w:val="16"/>
          <w:szCs w:val="16"/>
          <w:lang w:val="en-US"/>
        </w:rPr>
        <w:t xml:space="preserve">, proposed by Lin et al.⁶ (2014), had a sensitivity of 87% and a specificity of 77%. </w:t>
      </w:r>
      <w:proofErr w:type="spellStart"/>
      <w:r w:rsidRPr="001943B9">
        <w:rPr>
          <w:sz w:val="16"/>
          <w:szCs w:val="16"/>
          <w:lang w:val="en-US"/>
        </w:rPr>
        <w:t>Tufano</w:t>
      </w:r>
      <w:proofErr w:type="spellEnd"/>
      <w:r w:rsidRPr="001943B9">
        <w:rPr>
          <w:sz w:val="16"/>
          <w:szCs w:val="16"/>
          <w:lang w:val="en-US"/>
        </w:rPr>
        <w:t xml:space="preserve"> et al.⁷ reported 87%/71%. Our cohort demonstrated an 80% sensitivity and 73.3% specificity. Its primary benefit is its simplicity, as it requires only three laboratory parameters (potassium, creatinine, and hematocrit), which are typically available at the time of admission, facilitating its use in emergency departments.</w:t>
      </w:r>
    </w:p>
    <w:p w:rsidR="000159C7" w:rsidRPr="001943B9" w:rsidRDefault="000159C7" w:rsidP="000159C7">
      <w:pPr>
        <w:pStyle w:val="NormalWeb"/>
        <w:spacing w:before="0" w:beforeAutospacing="0" w:after="0" w:afterAutospacing="0"/>
        <w:jc w:val="both"/>
        <w:rPr>
          <w:sz w:val="16"/>
          <w:szCs w:val="16"/>
          <w:lang w:val="en-US"/>
        </w:rPr>
      </w:pPr>
      <w:bookmarkStart w:id="3" w:name="_heading=h.gl3mu7bpus9l" w:colFirst="0" w:colLast="0"/>
      <w:bookmarkEnd w:id="3"/>
      <w:r w:rsidRPr="001943B9">
        <w:rPr>
          <w:sz w:val="16"/>
          <w:szCs w:val="16"/>
          <w:lang w:val="en-US"/>
        </w:rPr>
        <w:t xml:space="preserve">In our study, 14 patients underwent ostomy, resulting in a 50% mortality rate. While this result is statistically significant, a multivariate analysis has not been performed to ensure unbiased conclusions. Based on a sample of ten ostomy patients, </w:t>
      </w:r>
      <w:proofErr w:type="spellStart"/>
      <w:r w:rsidRPr="001943B9">
        <w:rPr>
          <w:sz w:val="16"/>
          <w:szCs w:val="16"/>
          <w:lang w:val="en-US"/>
        </w:rPr>
        <w:t>Eringen</w:t>
      </w:r>
      <w:proofErr w:type="spellEnd"/>
      <w:r w:rsidRPr="001943B9">
        <w:rPr>
          <w:sz w:val="16"/>
          <w:szCs w:val="16"/>
          <w:lang w:val="en-US"/>
        </w:rPr>
        <w:t xml:space="preserve"> et al.</w:t>
      </w:r>
      <w:r w:rsidRPr="001943B9">
        <w:rPr>
          <w:sz w:val="16"/>
          <w:szCs w:val="16"/>
          <w:vertAlign w:val="superscript"/>
          <w:lang w:val="en-US"/>
        </w:rPr>
        <w:t>1</w:t>
      </w:r>
      <w:r w:rsidRPr="001943B9">
        <w:rPr>
          <w:sz w:val="16"/>
          <w:szCs w:val="16"/>
          <w:lang w:val="en-US"/>
        </w:rPr>
        <w:t xml:space="preserve"> concluded that transit diversion should not be recommended except for wounds with significant perineal involvement or extensive sphincter damage. In such cases, the decision to perform a colostomy should be made at a later stage after a more thorough evaluation of the sphincter. Similarly, Sarofim et al.,¹⁰ in a meta-analysis published in 2021, concluded that performing ostomies in patients with Fournier's gangrene yields poor results, as mortality remains high.</w:t>
      </w:r>
    </w:p>
    <w:p w:rsidR="000159C7" w:rsidRPr="001943B9" w:rsidRDefault="000159C7" w:rsidP="000159C7">
      <w:pPr>
        <w:pStyle w:val="NormalWeb"/>
        <w:spacing w:before="0" w:beforeAutospacing="0" w:after="0" w:afterAutospacing="0"/>
        <w:jc w:val="both"/>
        <w:rPr>
          <w:sz w:val="16"/>
          <w:szCs w:val="16"/>
          <w:lang w:val="en-US"/>
        </w:rPr>
      </w:pPr>
      <w:r w:rsidRPr="001943B9">
        <w:rPr>
          <w:sz w:val="16"/>
          <w:szCs w:val="16"/>
          <w:lang w:val="en-US"/>
        </w:rPr>
        <w:t>The present study has the inherent limitation of any retrospective research carried out in a single institution. This entails a possible selection bias. Although the sample size of 40 patients is small, it is comparable to that of most studies in which the different scores were published.</w:t>
      </w:r>
    </w:p>
    <w:p w:rsidR="000159C7" w:rsidRPr="001943B9" w:rsidRDefault="000159C7" w:rsidP="000159C7">
      <w:pPr>
        <w:pStyle w:val="NormalWeb"/>
        <w:spacing w:before="0" w:beforeAutospacing="0" w:after="0" w:afterAutospacing="0"/>
        <w:jc w:val="both"/>
        <w:rPr>
          <w:rFonts w:eastAsia="Arial"/>
          <w:b/>
          <w:sz w:val="16"/>
          <w:szCs w:val="16"/>
          <w:lang w:val="en-US"/>
        </w:rPr>
      </w:pPr>
    </w:p>
    <w:p w:rsidR="000159C7" w:rsidRPr="00D45723" w:rsidRDefault="000159C7" w:rsidP="000159C7">
      <w:pPr>
        <w:spacing w:line="240" w:lineRule="auto"/>
        <w:jc w:val="both"/>
        <w:rPr>
          <w:rFonts w:ascii="Times New Roman" w:hAnsi="Times New Roman" w:cs="Times New Roman"/>
          <w:b/>
          <w:sz w:val="18"/>
          <w:szCs w:val="16"/>
          <w:lang w:val="en-US"/>
        </w:rPr>
      </w:pPr>
      <w:r w:rsidRPr="00D45723">
        <w:rPr>
          <w:rFonts w:ascii="Times New Roman" w:hAnsi="Times New Roman" w:cs="Times New Roman"/>
          <w:b/>
          <w:sz w:val="18"/>
          <w:szCs w:val="16"/>
          <w:lang w:val="en-US"/>
        </w:rPr>
        <w:t>CONCLUSION</w:t>
      </w:r>
    </w:p>
    <w:p w:rsidR="000159C7" w:rsidRPr="00D45723" w:rsidRDefault="000159C7" w:rsidP="000159C7">
      <w:pPr>
        <w:spacing w:line="240" w:lineRule="auto"/>
        <w:jc w:val="both"/>
        <w:rPr>
          <w:rFonts w:ascii="Times New Roman" w:hAnsi="Times New Roman" w:cs="Times New Roman"/>
          <w:b/>
          <w:sz w:val="16"/>
          <w:szCs w:val="16"/>
          <w:lang w:val="en-US"/>
        </w:rPr>
      </w:pPr>
    </w:p>
    <w:p w:rsidR="000159C7" w:rsidRPr="001943B9" w:rsidRDefault="000159C7" w:rsidP="000159C7">
      <w:pPr>
        <w:spacing w:line="240" w:lineRule="auto"/>
        <w:jc w:val="both"/>
        <w:rPr>
          <w:rFonts w:ascii="Times New Roman" w:eastAsia="Times New Roman" w:hAnsi="Times New Roman" w:cs="Times New Roman"/>
          <w:sz w:val="16"/>
          <w:szCs w:val="16"/>
          <w:lang w:val="en-US" w:eastAsia="es-MX"/>
        </w:rPr>
      </w:pPr>
      <w:bookmarkStart w:id="4" w:name="_heading=h.542thz7gdzx5" w:colFirst="0" w:colLast="0"/>
      <w:bookmarkStart w:id="5" w:name="_heading=h.3znysh7" w:colFirst="0" w:colLast="0"/>
      <w:bookmarkEnd w:id="4"/>
      <w:bookmarkEnd w:id="5"/>
      <w:r w:rsidRPr="001943B9">
        <w:rPr>
          <w:rFonts w:ascii="Times New Roman" w:eastAsia="Times New Roman" w:hAnsi="Times New Roman" w:cs="Times New Roman"/>
          <w:sz w:val="16"/>
          <w:szCs w:val="16"/>
          <w:lang w:val="en-US" w:eastAsia="es-MX"/>
        </w:rPr>
        <w:t xml:space="preserve">All three scores analyzed were validated with statistically significant results. Patients diagnosed with Fournier's gangrene with FGSI and UFGSI scores &gt;9 and an </w:t>
      </w:r>
      <w:proofErr w:type="spellStart"/>
      <w:r w:rsidRPr="001943B9">
        <w:rPr>
          <w:rFonts w:ascii="Times New Roman" w:eastAsia="Times New Roman" w:hAnsi="Times New Roman" w:cs="Times New Roman"/>
          <w:sz w:val="16"/>
          <w:szCs w:val="16"/>
          <w:lang w:val="en-US" w:eastAsia="es-MX"/>
        </w:rPr>
        <w:t>sFGSI</w:t>
      </w:r>
      <w:proofErr w:type="spellEnd"/>
      <w:r w:rsidRPr="001943B9">
        <w:rPr>
          <w:rFonts w:ascii="Times New Roman" w:eastAsia="Times New Roman" w:hAnsi="Times New Roman" w:cs="Times New Roman"/>
          <w:sz w:val="16"/>
          <w:szCs w:val="16"/>
          <w:lang w:val="en-US" w:eastAsia="es-MX"/>
        </w:rPr>
        <w:t xml:space="preserve"> score &gt;2 were associated with high mortality rates. The UFGSI demonstrated greater sensitivity in our population. </w:t>
      </w:r>
    </w:p>
    <w:p w:rsidR="000159C7" w:rsidRPr="001943B9" w:rsidRDefault="000159C7" w:rsidP="000159C7">
      <w:pPr>
        <w:spacing w:line="240" w:lineRule="auto"/>
        <w:jc w:val="both"/>
        <w:rPr>
          <w:rFonts w:ascii="Times New Roman" w:hAnsi="Times New Roman" w:cs="Times New Roman"/>
          <w:sz w:val="16"/>
          <w:szCs w:val="16"/>
          <w:lang w:val="en-US"/>
        </w:rPr>
      </w:pPr>
      <w:r w:rsidRPr="001943B9">
        <w:rPr>
          <w:rFonts w:ascii="Times New Roman" w:eastAsia="Times New Roman" w:hAnsi="Times New Roman" w:cs="Times New Roman"/>
          <w:sz w:val="16"/>
          <w:szCs w:val="16"/>
          <w:lang w:val="en-US" w:eastAsia="es-MX"/>
        </w:rPr>
        <w:t>Cancer patients and individuals older than 60 years were identified as an independent risk group with a higher likelihood of mortality due to Fournier's gangrene.</w:t>
      </w:r>
    </w:p>
    <w:p w:rsidR="000159C7" w:rsidRDefault="000159C7">
      <w:pPr>
        <w:rPr>
          <w:rFonts w:ascii="Times New Roman" w:eastAsia="Times New Roman" w:hAnsi="Times New Roman" w:cs="Times New Roman"/>
          <w:sz w:val="12"/>
          <w:szCs w:val="24"/>
          <w:lang w:val="en-US"/>
        </w:rPr>
      </w:pPr>
      <w:r>
        <w:rPr>
          <w:sz w:val="12"/>
          <w:lang w:val="en-US"/>
        </w:rPr>
        <w:br w:type="page"/>
      </w:r>
    </w:p>
    <w:p w:rsidR="000159C7" w:rsidRDefault="000159C7" w:rsidP="00B73659">
      <w:pPr>
        <w:pStyle w:val="NormalWeb"/>
        <w:rPr>
          <w:sz w:val="12"/>
          <w:lang w:val="en-US"/>
        </w:rPr>
        <w:sectPr w:rsidR="000159C7" w:rsidSect="000159C7">
          <w:type w:val="continuous"/>
          <w:pgSz w:w="12240" w:h="15840"/>
          <w:pgMar w:top="1440" w:right="1440" w:bottom="1440" w:left="1440" w:header="720" w:footer="720" w:gutter="0"/>
          <w:pgNumType w:start="1"/>
          <w:cols w:num="2" w:space="720"/>
        </w:sectPr>
      </w:pPr>
    </w:p>
    <w:p w:rsidR="000159C7" w:rsidRPr="00423FFF" w:rsidRDefault="00E7742B" w:rsidP="00D9000A">
      <w:pPr>
        <w:shd w:val="clear" w:color="auto" w:fill="FFFFFF"/>
        <w:spacing w:line="240" w:lineRule="auto"/>
        <w:jc w:val="center"/>
        <w:rPr>
          <w:sz w:val="24"/>
          <w:szCs w:val="24"/>
          <w:lang w:val="en-US"/>
        </w:rPr>
      </w:pPr>
      <w:r>
        <w:rPr>
          <w:noProof/>
          <w:sz w:val="24"/>
          <w:szCs w:val="24"/>
          <w:lang w:val="es-AR" w:eastAsia="es-AR"/>
        </w:rPr>
        <w:lastRenderedPageBreak/>
        <w:drawing>
          <wp:inline distT="0" distB="0" distL="0" distR="0">
            <wp:extent cx="3671916" cy="2606040"/>
            <wp:effectExtent l="0" t="0" r="508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 2 INGLÉS cortad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04234" cy="2628977"/>
                    </a:xfrm>
                    <a:prstGeom prst="rect">
                      <a:avLst/>
                    </a:prstGeom>
                  </pic:spPr>
                </pic:pic>
              </a:graphicData>
            </a:graphic>
          </wp:inline>
        </w:drawing>
      </w:r>
    </w:p>
    <w:p w:rsidR="000159C7" w:rsidRPr="004E3B89" w:rsidRDefault="000159C7" w:rsidP="000159C7">
      <w:pPr>
        <w:pStyle w:val="NormalWeb"/>
        <w:spacing w:before="0" w:beforeAutospacing="0" w:after="0" w:afterAutospacing="0"/>
        <w:rPr>
          <w:i/>
          <w:sz w:val="14"/>
          <w:lang w:val="en-US"/>
        </w:rPr>
      </w:pPr>
      <w:r w:rsidRPr="004E3B89">
        <w:rPr>
          <w:rFonts w:eastAsia="Arial"/>
          <w:b/>
          <w:i/>
          <w:sz w:val="14"/>
          <w:lang w:val="en-US"/>
        </w:rPr>
        <w:t>Figure 2.</w:t>
      </w:r>
      <w:r w:rsidRPr="004E3B89">
        <w:rPr>
          <w:rFonts w:eastAsia="Arial"/>
          <w:i/>
          <w:sz w:val="14"/>
          <w:lang w:val="en-US"/>
        </w:rPr>
        <w:t xml:space="preserve"> </w:t>
      </w:r>
      <w:r w:rsidRPr="004E3B89">
        <w:rPr>
          <w:i/>
          <w:sz w:val="14"/>
          <w:lang w:val="en-US"/>
        </w:rPr>
        <w:t xml:space="preserve">Mortality is indicated as positive (+) or negative (-) according to each score and the corresponding cutoff point. For the </w:t>
      </w:r>
      <w:proofErr w:type="spellStart"/>
      <w:r w:rsidRPr="004E3B89">
        <w:rPr>
          <w:i/>
          <w:sz w:val="14"/>
          <w:lang w:val="en-US"/>
        </w:rPr>
        <w:t>sFGSI</w:t>
      </w:r>
      <w:proofErr w:type="spellEnd"/>
      <w:r w:rsidRPr="004E3B89">
        <w:rPr>
          <w:i/>
          <w:sz w:val="14"/>
          <w:lang w:val="en-US"/>
        </w:rPr>
        <w:t>, a score of - is interpreted as a value of ≤2, and a score of + is interpreted as a value of &gt;2. For the UFGSI, a score of - is interpreted as a value of ≤9, and a score of + is interpreted as a value of &gt;9. For the FGSI, a score of - is interpreted as a value ≤9, and a score of + is interpreted as a value &gt;9.</w:t>
      </w:r>
    </w:p>
    <w:p w:rsidR="000159C7" w:rsidRDefault="000159C7" w:rsidP="000159C7">
      <w:pPr>
        <w:shd w:val="clear" w:color="auto" w:fill="FFFFFF"/>
        <w:spacing w:line="240" w:lineRule="auto"/>
        <w:rPr>
          <w:sz w:val="24"/>
          <w:szCs w:val="24"/>
          <w:lang w:val="en-US"/>
        </w:rPr>
      </w:pPr>
    </w:p>
    <w:p w:rsidR="00D9000A" w:rsidRPr="00D70B59" w:rsidRDefault="00D9000A" w:rsidP="000159C7">
      <w:pPr>
        <w:shd w:val="clear" w:color="auto" w:fill="FFFFFF"/>
        <w:spacing w:line="240" w:lineRule="auto"/>
        <w:rPr>
          <w:sz w:val="24"/>
          <w:szCs w:val="24"/>
          <w:lang w:val="en-US"/>
        </w:rPr>
      </w:pPr>
    </w:p>
    <w:p w:rsidR="000159C7" w:rsidRDefault="000159C7" w:rsidP="00D9000A">
      <w:pPr>
        <w:shd w:val="clear" w:color="auto" w:fill="FFFFFF"/>
        <w:spacing w:line="240" w:lineRule="auto"/>
        <w:jc w:val="center"/>
        <w:rPr>
          <w:sz w:val="24"/>
          <w:szCs w:val="24"/>
          <w:lang w:val="en-US"/>
        </w:rPr>
      </w:pPr>
      <w:r w:rsidRPr="00423FFF">
        <w:rPr>
          <w:noProof/>
          <w:lang w:val="es-AR" w:eastAsia="es-AR"/>
        </w:rPr>
        <w:drawing>
          <wp:inline distT="114300" distB="114300" distL="114300" distR="114300" wp14:anchorId="03597CAE" wp14:editId="1B10DA08">
            <wp:extent cx="3596640" cy="2423160"/>
            <wp:effectExtent l="19050" t="19050" r="22860" b="15240"/>
            <wp:docPr id="273007493" name="image1.png" descr="Gráfico">
              <a:extLst xmlns:a="http://schemas.openxmlformats.org/drawingml/2006/main">
                <a:ext uri="http://customooxmlschemas.google.com/">
                  <go:docsCustomData xmlns:arto="http://schemas.microsoft.com/office/word/2006/arto" xmlns:w16sdtfl="http://schemas.microsoft.com/office/word/2024/wordml/sdtformatlock"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roundtripId="5"/>
                </a:ext>
              </a:extLst>
            </wp:docPr>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rotWithShape="1">
                    <a:blip r:embed="rId17"/>
                    <a:srcRect t="11395"/>
                    <a:stretch/>
                  </pic:blipFill>
                  <pic:spPr bwMode="auto">
                    <a:xfrm>
                      <a:off x="0" y="0"/>
                      <a:ext cx="3625003" cy="2442269"/>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rsidR="000159C7" w:rsidRPr="004E3B89" w:rsidRDefault="000159C7" w:rsidP="000159C7">
      <w:pPr>
        <w:pStyle w:val="NormalWeb"/>
        <w:spacing w:before="0" w:beforeAutospacing="0" w:after="0" w:afterAutospacing="0"/>
        <w:jc w:val="center"/>
        <w:rPr>
          <w:i/>
          <w:sz w:val="14"/>
          <w:lang w:val="en-US"/>
        </w:rPr>
      </w:pPr>
      <w:r w:rsidRPr="004E3B89">
        <w:rPr>
          <w:rFonts w:eastAsia="Arial"/>
          <w:b/>
          <w:i/>
          <w:sz w:val="14"/>
          <w:lang w:val="en-US"/>
        </w:rPr>
        <w:t>Figure 3.</w:t>
      </w:r>
      <w:r w:rsidRPr="004E3B89">
        <w:rPr>
          <w:rFonts w:eastAsia="Arial"/>
          <w:i/>
          <w:sz w:val="14"/>
          <w:lang w:val="en-US"/>
        </w:rPr>
        <w:t xml:space="preserve"> </w:t>
      </w:r>
      <w:r w:rsidRPr="004E3B89">
        <w:rPr>
          <w:i/>
          <w:sz w:val="14"/>
          <w:lang w:val="en-US"/>
        </w:rPr>
        <w:t>Kaplan-Meier survival curve.</w:t>
      </w:r>
    </w:p>
    <w:p w:rsidR="000159C7" w:rsidRDefault="000159C7" w:rsidP="000159C7">
      <w:pPr>
        <w:spacing w:line="240" w:lineRule="auto"/>
        <w:rPr>
          <w:sz w:val="24"/>
          <w:szCs w:val="24"/>
          <w:lang w:val="en-US"/>
        </w:rPr>
      </w:pPr>
    </w:p>
    <w:p w:rsidR="00D9000A" w:rsidRDefault="00D9000A" w:rsidP="00F60826">
      <w:pPr>
        <w:spacing w:line="240" w:lineRule="auto"/>
        <w:jc w:val="center"/>
        <w:rPr>
          <w:rFonts w:ascii="Times New Roman" w:eastAsia="Times New Roman" w:hAnsi="Times New Roman" w:cs="Times New Roman"/>
          <w:sz w:val="14"/>
          <w:szCs w:val="17"/>
          <w:lang w:val="en-US"/>
        </w:rPr>
        <w:sectPr w:rsidR="00D9000A" w:rsidSect="00D9000A">
          <w:type w:val="continuous"/>
          <w:pgSz w:w="12240" w:h="15840"/>
          <w:pgMar w:top="1440" w:right="1440" w:bottom="1440" w:left="1440" w:header="720" w:footer="720" w:gutter="0"/>
          <w:pgNumType w:start="1"/>
          <w:cols w:space="720"/>
        </w:sectPr>
      </w:pPr>
    </w:p>
    <w:p w:rsidR="000159C7" w:rsidRDefault="000159C7" w:rsidP="00F60826">
      <w:pPr>
        <w:spacing w:line="240" w:lineRule="auto"/>
        <w:jc w:val="center"/>
        <w:rPr>
          <w:rFonts w:ascii="Times New Roman" w:eastAsia="Times New Roman" w:hAnsi="Times New Roman" w:cs="Times New Roman"/>
          <w:sz w:val="14"/>
          <w:szCs w:val="17"/>
          <w:lang w:val="en-US"/>
        </w:rPr>
      </w:pPr>
    </w:p>
    <w:p w:rsidR="006E4A9D" w:rsidRDefault="006E4A9D" w:rsidP="00F60826">
      <w:pPr>
        <w:spacing w:line="240" w:lineRule="auto"/>
        <w:jc w:val="center"/>
        <w:rPr>
          <w:rFonts w:ascii="Times New Roman" w:eastAsia="Times New Roman" w:hAnsi="Times New Roman" w:cs="Times New Roman"/>
          <w:sz w:val="14"/>
          <w:szCs w:val="17"/>
          <w:lang w:val="en-US"/>
        </w:rPr>
        <w:sectPr w:rsidR="006E4A9D" w:rsidSect="000159C7">
          <w:type w:val="continuous"/>
          <w:pgSz w:w="12240" w:h="15840"/>
          <w:pgMar w:top="1440" w:right="1440" w:bottom="1440" w:left="1440" w:header="720" w:footer="720" w:gutter="0"/>
          <w:pgNumType w:start="1"/>
          <w:cols w:num="2" w:space="720"/>
        </w:sectPr>
      </w:pPr>
    </w:p>
    <w:p w:rsidR="000159C7" w:rsidRPr="001943B9" w:rsidRDefault="000159C7" w:rsidP="000159C7">
      <w:pPr>
        <w:spacing w:line="240" w:lineRule="auto"/>
        <w:jc w:val="both"/>
        <w:rPr>
          <w:rFonts w:ascii="Times New Roman" w:hAnsi="Times New Roman" w:cs="Times New Roman"/>
          <w:b/>
          <w:sz w:val="18"/>
          <w:szCs w:val="16"/>
        </w:rPr>
      </w:pPr>
      <w:r w:rsidRPr="001943B9">
        <w:rPr>
          <w:rFonts w:ascii="Times New Roman" w:hAnsi="Times New Roman" w:cs="Times New Roman"/>
          <w:b/>
          <w:sz w:val="18"/>
          <w:szCs w:val="16"/>
        </w:rPr>
        <w:t>REFERENCES</w:t>
      </w:r>
    </w:p>
    <w:p w:rsidR="000159C7" w:rsidRPr="001943B9" w:rsidRDefault="000159C7" w:rsidP="000159C7">
      <w:pPr>
        <w:spacing w:line="240" w:lineRule="auto"/>
        <w:jc w:val="both"/>
        <w:rPr>
          <w:rFonts w:ascii="Times New Roman" w:hAnsi="Times New Roman" w:cs="Times New Roman"/>
          <w:b/>
          <w:sz w:val="16"/>
          <w:szCs w:val="16"/>
        </w:rPr>
      </w:pPr>
    </w:p>
    <w:p w:rsidR="000159C7" w:rsidRPr="001943B9" w:rsidRDefault="000159C7" w:rsidP="000159C7">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rPr>
      </w:pPr>
      <w:proofErr w:type="spellStart"/>
      <w:r w:rsidRPr="001943B9">
        <w:rPr>
          <w:rFonts w:ascii="Times New Roman" w:hAnsi="Times New Roman" w:cs="Times New Roman"/>
          <w:sz w:val="13"/>
          <w:szCs w:val="13"/>
          <w:highlight w:val="white"/>
          <w:lang w:val="en-US"/>
        </w:rPr>
        <w:t>Eğin</w:t>
      </w:r>
      <w:proofErr w:type="spellEnd"/>
      <w:r w:rsidRPr="001943B9">
        <w:rPr>
          <w:rFonts w:ascii="Times New Roman" w:hAnsi="Times New Roman" w:cs="Times New Roman"/>
          <w:sz w:val="13"/>
          <w:szCs w:val="13"/>
          <w:highlight w:val="white"/>
          <w:lang w:val="en-US"/>
        </w:rPr>
        <w:t xml:space="preserve"> S, </w:t>
      </w:r>
      <w:proofErr w:type="spellStart"/>
      <w:r w:rsidRPr="001943B9">
        <w:rPr>
          <w:rFonts w:ascii="Times New Roman" w:hAnsi="Times New Roman" w:cs="Times New Roman"/>
          <w:sz w:val="13"/>
          <w:szCs w:val="13"/>
          <w:highlight w:val="white"/>
          <w:lang w:val="en-US"/>
        </w:rPr>
        <w:t>Kamalı</w:t>
      </w:r>
      <w:proofErr w:type="spellEnd"/>
      <w:r w:rsidRPr="001943B9">
        <w:rPr>
          <w:rFonts w:ascii="Times New Roman" w:hAnsi="Times New Roman" w:cs="Times New Roman"/>
          <w:sz w:val="13"/>
          <w:szCs w:val="13"/>
          <w:highlight w:val="white"/>
          <w:lang w:val="en-US"/>
        </w:rPr>
        <w:t xml:space="preserve"> S, Hot S, et al. The importance of the scoring system in Fournier's gangrene. </w:t>
      </w:r>
      <w:r w:rsidRPr="001943B9">
        <w:rPr>
          <w:rFonts w:ascii="Times New Roman" w:hAnsi="Times New Roman" w:cs="Times New Roman"/>
          <w:sz w:val="13"/>
          <w:szCs w:val="13"/>
          <w:highlight w:val="white"/>
        </w:rPr>
        <w:t xml:space="preserve">Fournier </w:t>
      </w:r>
      <w:proofErr w:type="spellStart"/>
      <w:r w:rsidRPr="001943B9">
        <w:rPr>
          <w:rFonts w:ascii="Times New Roman" w:hAnsi="Times New Roman" w:cs="Times New Roman"/>
          <w:sz w:val="13"/>
          <w:szCs w:val="13"/>
          <w:highlight w:val="white"/>
        </w:rPr>
        <w:t>gangreninde</w:t>
      </w:r>
      <w:proofErr w:type="spellEnd"/>
      <w:r w:rsidRPr="001943B9">
        <w:rPr>
          <w:rFonts w:ascii="Times New Roman" w:hAnsi="Times New Roman" w:cs="Times New Roman"/>
          <w:sz w:val="13"/>
          <w:szCs w:val="13"/>
          <w:highlight w:val="white"/>
        </w:rPr>
        <w:t xml:space="preserve"> </w:t>
      </w:r>
      <w:proofErr w:type="spellStart"/>
      <w:r w:rsidRPr="001943B9">
        <w:rPr>
          <w:rFonts w:ascii="Times New Roman" w:hAnsi="Times New Roman" w:cs="Times New Roman"/>
          <w:sz w:val="13"/>
          <w:szCs w:val="13"/>
          <w:highlight w:val="white"/>
        </w:rPr>
        <w:t>skorlama</w:t>
      </w:r>
      <w:proofErr w:type="spellEnd"/>
      <w:r w:rsidRPr="001943B9">
        <w:rPr>
          <w:rFonts w:ascii="Times New Roman" w:hAnsi="Times New Roman" w:cs="Times New Roman"/>
          <w:sz w:val="13"/>
          <w:szCs w:val="13"/>
          <w:highlight w:val="white"/>
        </w:rPr>
        <w:t xml:space="preserve"> </w:t>
      </w:r>
      <w:proofErr w:type="spellStart"/>
      <w:r w:rsidRPr="001943B9">
        <w:rPr>
          <w:rFonts w:ascii="Times New Roman" w:hAnsi="Times New Roman" w:cs="Times New Roman"/>
          <w:sz w:val="13"/>
          <w:szCs w:val="13"/>
          <w:highlight w:val="white"/>
        </w:rPr>
        <w:t>sisteminin</w:t>
      </w:r>
      <w:proofErr w:type="spellEnd"/>
      <w:r w:rsidRPr="001943B9">
        <w:rPr>
          <w:rFonts w:ascii="Times New Roman" w:hAnsi="Times New Roman" w:cs="Times New Roman"/>
          <w:sz w:val="13"/>
          <w:szCs w:val="13"/>
          <w:highlight w:val="white"/>
        </w:rPr>
        <w:t xml:space="preserve"> </w:t>
      </w:r>
      <w:proofErr w:type="spellStart"/>
      <w:r w:rsidRPr="001943B9">
        <w:rPr>
          <w:rFonts w:ascii="Times New Roman" w:hAnsi="Times New Roman" w:cs="Times New Roman"/>
          <w:sz w:val="13"/>
          <w:szCs w:val="13"/>
          <w:highlight w:val="white"/>
        </w:rPr>
        <w:t>önemi</w:t>
      </w:r>
      <w:proofErr w:type="spellEnd"/>
      <w:r w:rsidRPr="001943B9">
        <w:rPr>
          <w:rFonts w:ascii="Times New Roman" w:hAnsi="Times New Roman" w:cs="Times New Roman"/>
          <w:sz w:val="13"/>
          <w:szCs w:val="13"/>
          <w:highlight w:val="white"/>
        </w:rPr>
        <w:t>. </w:t>
      </w:r>
      <w:proofErr w:type="spellStart"/>
      <w:r w:rsidRPr="001943B9">
        <w:rPr>
          <w:rFonts w:ascii="Times New Roman" w:hAnsi="Times New Roman" w:cs="Times New Roman"/>
          <w:i/>
          <w:iCs/>
          <w:sz w:val="13"/>
          <w:szCs w:val="13"/>
          <w:highlight w:val="white"/>
        </w:rPr>
        <w:t>Ulus</w:t>
      </w:r>
      <w:proofErr w:type="spellEnd"/>
      <w:r w:rsidRPr="001943B9">
        <w:rPr>
          <w:rFonts w:ascii="Times New Roman" w:hAnsi="Times New Roman" w:cs="Times New Roman"/>
          <w:i/>
          <w:iCs/>
          <w:sz w:val="13"/>
          <w:szCs w:val="13"/>
          <w:highlight w:val="white"/>
        </w:rPr>
        <w:t xml:space="preserve"> </w:t>
      </w:r>
      <w:proofErr w:type="spellStart"/>
      <w:r w:rsidRPr="001943B9">
        <w:rPr>
          <w:rFonts w:ascii="Times New Roman" w:hAnsi="Times New Roman" w:cs="Times New Roman"/>
          <w:i/>
          <w:iCs/>
          <w:sz w:val="13"/>
          <w:szCs w:val="13"/>
          <w:highlight w:val="white"/>
        </w:rPr>
        <w:t>Travma</w:t>
      </w:r>
      <w:proofErr w:type="spellEnd"/>
      <w:r w:rsidRPr="001943B9">
        <w:rPr>
          <w:rFonts w:ascii="Times New Roman" w:hAnsi="Times New Roman" w:cs="Times New Roman"/>
          <w:i/>
          <w:iCs/>
          <w:sz w:val="13"/>
          <w:szCs w:val="13"/>
          <w:highlight w:val="white"/>
        </w:rPr>
        <w:t xml:space="preserve"> </w:t>
      </w:r>
      <w:proofErr w:type="spellStart"/>
      <w:r w:rsidRPr="001943B9">
        <w:rPr>
          <w:rFonts w:ascii="Times New Roman" w:hAnsi="Times New Roman" w:cs="Times New Roman"/>
          <w:i/>
          <w:iCs/>
          <w:sz w:val="13"/>
          <w:szCs w:val="13"/>
          <w:highlight w:val="white"/>
        </w:rPr>
        <w:t>Acil</w:t>
      </w:r>
      <w:proofErr w:type="spellEnd"/>
      <w:r w:rsidRPr="001943B9">
        <w:rPr>
          <w:rFonts w:ascii="Times New Roman" w:hAnsi="Times New Roman" w:cs="Times New Roman"/>
          <w:i/>
          <w:iCs/>
          <w:sz w:val="13"/>
          <w:szCs w:val="13"/>
          <w:highlight w:val="white"/>
        </w:rPr>
        <w:t xml:space="preserve"> </w:t>
      </w:r>
      <w:proofErr w:type="spellStart"/>
      <w:r w:rsidRPr="001943B9">
        <w:rPr>
          <w:rFonts w:ascii="Times New Roman" w:hAnsi="Times New Roman" w:cs="Times New Roman"/>
          <w:i/>
          <w:iCs/>
          <w:sz w:val="13"/>
          <w:szCs w:val="13"/>
          <w:highlight w:val="white"/>
        </w:rPr>
        <w:t>Cerrahi</w:t>
      </w:r>
      <w:proofErr w:type="spellEnd"/>
      <w:r w:rsidRPr="001943B9">
        <w:rPr>
          <w:rFonts w:ascii="Times New Roman" w:hAnsi="Times New Roman" w:cs="Times New Roman"/>
          <w:i/>
          <w:iCs/>
          <w:sz w:val="13"/>
          <w:szCs w:val="13"/>
          <w:highlight w:val="white"/>
        </w:rPr>
        <w:t xml:space="preserve"> </w:t>
      </w:r>
      <w:proofErr w:type="spellStart"/>
      <w:r w:rsidRPr="001943B9">
        <w:rPr>
          <w:rFonts w:ascii="Times New Roman" w:hAnsi="Times New Roman" w:cs="Times New Roman"/>
          <w:i/>
          <w:iCs/>
          <w:sz w:val="13"/>
          <w:szCs w:val="13"/>
          <w:highlight w:val="white"/>
        </w:rPr>
        <w:t>Derg</w:t>
      </w:r>
      <w:proofErr w:type="spellEnd"/>
      <w:r w:rsidRPr="001943B9">
        <w:rPr>
          <w:rFonts w:ascii="Times New Roman" w:hAnsi="Times New Roman" w:cs="Times New Roman"/>
          <w:sz w:val="13"/>
          <w:szCs w:val="13"/>
          <w:highlight w:val="white"/>
        </w:rPr>
        <w:t>. 2022;29(1):109-115.</w:t>
      </w:r>
    </w:p>
    <w:p w:rsidR="000159C7" w:rsidRPr="001943B9" w:rsidRDefault="000159C7" w:rsidP="000159C7">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lang w:val="en-US"/>
        </w:rPr>
      </w:pPr>
      <w:proofErr w:type="spellStart"/>
      <w:r w:rsidRPr="001943B9">
        <w:rPr>
          <w:rFonts w:ascii="Times New Roman" w:hAnsi="Times New Roman" w:cs="Times New Roman"/>
          <w:color w:val="000000"/>
          <w:sz w:val="13"/>
          <w:szCs w:val="13"/>
          <w:highlight w:val="white"/>
          <w:lang w:val="en-US"/>
        </w:rPr>
        <w:t>Chernyadyev</w:t>
      </w:r>
      <w:proofErr w:type="spellEnd"/>
      <w:r w:rsidRPr="001943B9">
        <w:rPr>
          <w:rFonts w:ascii="Times New Roman" w:hAnsi="Times New Roman" w:cs="Times New Roman"/>
          <w:color w:val="000000"/>
          <w:sz w:val="13"/>
          <w:szCs w:val="13"/>
          <w:highlight w:val="white"/>
          <w:lang w:val="en-US"/>
        </w:rPr>
        <w:t xml:space="preserve"> SA, </w:t>
      </w:r>
      <w:proofErr w:type="spellStart"/>
      <w:r w:rsidRPr="001943B9">
        <w:rPr>
          <w:rFonts w:ascii="Times New Roman" w:hAnsi="Times New Roman" w:cs="Times New Roman"/>
          <w:color w:val="000000"/>
          <w:sz w:val="13"/>
          <w:szCs w:val="13"/>
          <w:highlight w:val="white"/>
          <w:lang w:val="en-US"/>
        </w:rPr>
        <w:t>Ufimtseva</w:t>
      </w:r>
      <w:proofErr w:type="spellEnd"/>
      <w:r w:rsidRPr="001943B9">
        <w:rPr>
          <w:rFonts w:ascii="Times New Roman" w:hAnsi="Times New Roman" w:cs="Times New Roman"/>
          <w:color w:val="000000"/>
          <w:sz w:val="13"/>
          <w:szCs w:val="13"/>
          <w:highlight w:val="white"/>
          <w:lang w:val="en-US"/>
        </w:rPr>
        <w:t xml:space="preserve"> MA, </w:t>
      </w:r>
      <w:proofErr w:type="spellStart"/>
      <w:r w:rsidRPr="001943B9">
        <w:rPr>
          <w:rFonts w:ascii="Times New Roman" w:hAnsi="Times New Roman" w:cs="Times New Roman"/>
          <w:color w:val="000000"/>
          <w:sz w:val="13"/>
          <w:szCs w:val="13"/>
          <w:highlight w:val="white"/>
          <w:lang w:val="en-US"/>
        </w:rPr>
        <w:t>Vishnevskaya</w:t>
      </w:r>
      <w:proofErr w:type="spellEnd"/>
      <w:r w:rsidRPr="001943B9">
        <w:rPr>
          <w:rFonts w:ascii="Times New Roman" w:hAnsi="Times New Roman" w:cs="Times New Roman"/>
          <w:color w:val="000000"/>
          <w:sz w:val="13"/>
          <w:szCs w:val="13"/>
          <w:highlight w:val="white"/>
          <w:lang w:val="en-US"/>
        </w:rPr>
        <w:t xml:space="preserve"> IF, et al. Fournier's Gangrene: Literature Review and Clinical Cases. </w:t>
      </w:r>
      <w:proofErr w:type="spellStart"/>
      <w:r w:rsidRPr="001943B9">
        <w:rPr>
          <w:rFonts w:ascii="Times New Roman" w:hAnsi="Times New Roman" w:cs="Times New Roman"/>
          <w:i/>
          <w:iCs/>
          <w:color w:val="000000"/>
          <w:sz w:val="13"/>
          <w:szCs w:val="13"/>
          <w:highlight w:val="white"/>
          <w:lang w:val="en-US"/>
        </w:rPr>
        <w:t>Urol</w:t>
      </w:r>
      <w:proofErr w:type="spellEnd"/>
      <w:r w:rsidRPr="001943B9">
        <w:rPr>
          <w:rFonts w:ascii="Times New Roman" w:hAnsi="Times New Roman" w:cs="Times New Roman"/>
          <w:i/>
          <w:iCs/>
          <w:color w:val="000000"/>
          <w:sz w:val="13"/>
          <w:szCs w:val="13"/>
          <w:highlight w:val="white"/>
          <w:lang w:val="en-US"/>
        </w:rPr>
        <w:t xml:space="preserve"> Int</w:t>
      </w:r>
      <w:r w:rsidRPr="001943B9">
        <w:rPr>
          <w:rFonts w:ascii="Times New Roman" w:hAnsi="Times New Roman" w:cs="Times New Roman"/>
          <w:color w:val="000000"/>
          <w:sz w:val="13"/>
          <w:szCs w:val="13"/>
          <w:highlight w:val="white"/>
          <w:lang w:val="en-US"/>
        </w:rPr>
        <w:t>. 2018;101(1):91-97.</w:t>
      </w:r>
    </w:p>
    <w:p w:rsidR="000159C7" w:rsidRPr="001943B9" w:rsidRDefault="000159C7" w:rsidP="000159C7">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lang w:val="en-US"/>
        </w:rPr>
      </w:pPr>
      <w:proofErr w:type="spellStart"/>
      <w:r w:rsidRPr="001943B9">
        <w:rPr>
          <w:rFonts w:ascii="Times New Roman" w:hAnsi="Times New Roman" w:cs="Times New Roman"/>
          <w:color w:val="000000"/>
          <w:sz w:val="13"/>
          <w:szCs w:val="13"/>
          <w:highlight w:val="white"/>
          <w:lang w:val="en-US"/>
        </w:rPr>
        <w:t>Laor</w:t>
      </w:r>
      <w:proofErr w:type="spellEnd"/>
      <w:r w:rsidRPr="001943B9">
        <w:rPr>
          <w:rFonts w:ascii="Times New Roman" w:hAnsi="Times New Roman" w:cs="Times New Roman"/>
          <w:color w:val="000000"/>
          <w:sz w:val="13"/>
          <w:szCs w:val="13"/>
          <w:highlight w:val="white"/>
          <w:lang w:val="en-US"/>
        </w:rPr>
        <w:t xml:space="preserve"> E, Palmer LS, </w:t>
      </w:r>
      <w:proofErr w:type="spellStart"/>
      <w:r w:rsidRPr="001943B9">
        <w:rPr>
          <w:rFonts w:ascii="Times New Roman" w:hAnsi="Times New Roman" w:cs="Times New Roman"/>
          <w:color w:val="000000"/>
          <w:sz w:val="13"/>
          <w:szCs w:val="13"/>
          <w:highlight w:val="white"/>
          <w:lang w:val="en-US"/>
        </w:rPr>
        <w:t>Tolia</w:t>
      </w:r>
      <w:proofErr w:type="spellEnd"/>
      <w:r w:rsidRPr="001943B9">
        <w:rPr>
          <w:rFonts w:ascii="Times New Roman" w:hAnsi="Times New Roman" w:cs="Times New Roman"/>
          <w:color w:val="000000"/>
          <w:sz w:val="13"/>
          <w:szCs w:val="13"/>
          <w:highlight w:val="white"/>
          <w:lang w:val="en-US"/>
        </w:rPr>
        <w:t xml:space="preserve"> BM, Reid RE, Winter HI. Outcome prediction in patients with Fournier's gangrene. </w:t>
      </w:r>
      <w:r w:rsidRPr="001943B9">
        <w:rPr>
          <w:rFonts w:ascii="Times New Roman" w:hAnsi="Times New Roman" w:cs="Times New Roman"/>
          <w:i/>
          <w:iCs/>
          <w:color w:val="000000"/>
          <w:sz w:val="13"/>
          <w:szCs w:val="13"/>
          <w:highlight w:val="white"/>
        </w:rPr>
        <w:t xml:space="preserve">J </w:t>
      </w:r>
      <w:proofErr w:type="spellStart"/>
      <w:r w:rsidRPr="001943B9">
        <w:rPr>
          <w:rFonts w:ascii="Times New Roman" w:hAnsi="Times New Roman" w:cs="Times New Roman"/>
          <w:i/>
          <w:iCs/>
          <w:color w:val="000000"/>
          <w:sz w:val="13"/>
          <w:szCs w:val="13"/>
          <w:highlight w:val="white"/>
        </w:rPr>
        <w:t>Urol</w:t>
      </w:r>
      <w:proofErr w:type="spellEnd"/>
      <w:r w:rsidRPr="001943B9">
        <w:rPr>
          <w:rFonts w:ascii="Times New Roman" w:hAnsi="Times New Roman" w:cs="Times New Roman"/>
          <w:color w:val="000000"/>
          <w:sz w:val="13"/>
          <w:szCs w:val="13"/>
          <w:highlight w:val="white"/>
        </w:rPr>
        <w:t>. 1995;154(1):89-92.</w:t>
      </w:r>
    </w:p>
    <w:p w:rsidR="000159C7" w:rsidRPr="001943B9" w:rsidRDefault="000159C7" w:rsidP="000159C7">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lang w:val="en-US"/>
        </w:rPr>
      </w:pPr>
      <w:r w:rsidRPr="001943B9">
        <w:rPr>
          <w:rFonts w:ascii="Times New Roman" w:hAnsi="Times New Roman" w:cs="Times New Roman"/>
          <w:color w:val="000000"/>
          <w:sz w:val="13"/>
          <w:szCs w:val="13"/>
          <w:highlight w:val="white"/>
          <w:lang w:val="en-US"/>
        </w:rPr>
        <w:t xml:space="preserve">Wong CH, </w:t>
      </w:r>
      <w:proofErr w:type="spellStart"/>
      <w:r w:rsidRPr="001943B9">
        <w:rPr>
          <w:rFonts w:ascii="Times New Roman" w:hAnsi="Times New Roman" w:cs="Times New Roman"/>
          <w:color w:val="000000"/>
          <w:sz w:val="13"/>
          <w:szCs w:val="13"/>
          <w:highlight w:val="white"/>
          <w:lang w:val="en-US"/>
        </w:rPr>
        <w:t>Khin</w:t>
      </w:r>
      <w:proofErr w:type="spellEnd"/>
      <w:r w:rsidRPr="001943B9">
        <w:rPr>
          <w:rFonts w:ascii="Times New Roman" w:hAnsi="Times New Roman" w:cs="Times New Roman"/>
          <w:color w:val="000000"/>
          <w:sz w:val="13"/>
          <w:szCs w:val="13"/>
          <w:highlight w:val="white"/>
          <w:lang w:val="en-US"/>
        </w:rPr>
        <w:t xml:space="preserve"> LW, Heng KS, Tan KC, Low CO. The LRINEC (Laboratory Risk Indicator for Necrotizing Fasciitis) score: a tool for distinguishing necrotizing fasciitis from other soft tissue infections. </w:t>
      </w:r>
      <w:proofErr w:type="spellStart"/>
      <w:r w:rsidRPr="001943B9">
        <w:rPr>
          <w:rFonts w:ascii="Times New Roman" w:hAnsi="Times New Roman" w:cs="Times New Roman"/>
          <w:i/>
          <w:iCs/>
          <w:color w:val="000000"/>
          <w:sz w:val="13"/>
          <w:szCs w:val="13"/>
          <w:highlight w:val="white"/>
        </w:rPr>
        <w:t>Crit</w:t>
      </w:r>
      <w:proofErr w:type="spellEnd"/>
      <w:r w:rsidRPr="001943B9">
        <w:rPr>
          <w:rFonts w:ascii="Times New Roman" w:hAnsi="Times New Roman" w:cs="Times New Roman"/>
          <w:i/>
          <w:iCs/>
          <w:color w:val="000000"/>
          <w:sz w:val="13"/>
          <w:szCs w:val="13"/>
          <w:highlight w:val="white"/>
        </w:rPr>
        <w:t xml:space="preserve"> Care </w:t>
      </w:r>
      <w:proofErr w:type="spellStart"/>
      <w:r w:rsidRPr="001943B9">
        <w:rPr>
          <w:rFonts w:ascii="Times New Roman" w:hAnsi="Times New Roman" w:cs="Times New Roman"/>
          <w:i/>
          <w:iCs/>
          <w:color w:val="000000"/>
          <w:sz w:val="13"/>
          <w:szCs w:val="13"/>
          <w:highlight w:val="white"/>
        </w:rPr>
        <w:t>Med</w:t>
      </w:r>
      <w:proofErr w:type="spellEnd"/>
      <w:r w:rsidRPr="001943B9">
        <w:rPr>
          <w:rFonts w:ascii="Times New Roman" w:hAnsi="Times New Roman" w:cs="Times New Roman"/>
          <w:color w:val="000000"/>
          <w:sz w:val="13"/>
          <w:szCs w:val="13"/>
          <w:highlight w:val="white"/>
        </w:rPr>
        <w:t>. 2004;32(7):1535-1541.</w:t>
      </w:r>
    </w:p>
    <w:p w:rsidR="000159C7" w:rsidRPr="001943B9" w:rsidRDefault="000159C7" w:rsidP="000159C7">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highlight w:val="white"/>
          <w:lang w:val="en-US"/>
        </w:rPr>
      </w:pPr>
      <w:proofErr w:type="spellStart"/>
      <w:r w:rsidRPr="001943B9">
        <w:rPr>
          <w:rFonts w:ascii="Times New Roman" w:hAnsi="Times New Roman" w:cs="Times New Roman"/>
          <w:color w:val="000000"/>
          <w:sz w:val="13"/>
          <w:szCs w:val="13"/>
          <w:highlight w:val="white"/>
          <w:lang w:val="en-US"/>
        </w:rPr>
        <w:t>Yilmazlar</w:t>
      </w:r>
      <w:proofErr w:type="spellEnd"/>
      <w:r w:rsidRPr="001943B9">
        <w:rPr>
          <w:rFonts w:ascii="Times New Roman" w:hAnsi="Times New Roman" w:cs="Times New Roman"/>
          <w:color w:val="000000"/>
          <w:sz w:val="13"/>
          <w:szCs w:val="13"/>
          <w:highlight w:val="white"/>
          <w:lang w:val="en-US"/>
        </w:rPr>
        <w:t xml:space="preserve"> T, Ozturk E, </w:t>
      </w:r>
      <w:proofErr w:type="spellStart"/>
      <w:r w:rsidRPr="001943B9">
        <w:rPr>
          <w:rFonts w:ascii="Times New Roman" w:hAnsi="Times New Roman" w:cs="Times New Roman"/>
          <w:color w:val="000000"/>
          <w:sz w:val="13"/>
          <w:szCs w:val="13"/>
          <w:highlight w:val="white"/>
          <w:lang w:val="en-US"/>
        </w:rPr>
        <w:t>Ozguc</w:t>
      </w:r>
      <w:proofErr w:type="spellEnd"/>
      <w:r w:rsidRPr="001943B9">
        <w:rPr>
          <w:rFonts w:ascii="Times New Roman" w:hAnsi="Times New Roman" w:cs="Times New Roman"/>
          <w:color w:val="000000"/>
          <w:sz w:val="13"/>
          <w:szCs w:val="13"/>
          <w:highlight w:val="white"/>
          <w:lang w:val="en-US"/>
        </w:rPr>
        <w:t xml:space="preserve"> H, </w:t>
      </w:r>
      <w:proofErr w:type="spellStart"/>
      <w:r w:rsidRPr="001943B9">
        <w:rPr>
          <w:rFonts w:ascii="Times New Roman" w:hAnsi="Times New Roman" w:cs="Times New Roman"/>
          <w:color w:val="000000"/>
          <w:sz w:val="13"/>
          <w:szCs w:val="13"/>
          <w:highlight w:val="white"/>
          <w:lang w:val="en-US"/>
        </w:rPr>
        <w:t>Ercan</w:t>
      </w:r>
      <w:proofErr w:type="spellEnd"/>
      <w:r w:rsidRPr="001943B9">
        <w:rPr>
          <w:rFonts w:ascii="Times New Roman" w:hAnsi="Times New Roman" w:cs="Times New Roman"/>
          <w:color w:val="000000"/>
          <w:sz w:val="13"/>
          <w:szCs w:val="13"/>
          <w:highlight w:val="white"/>
          <w:lang w:val="en-US"/>
        </w:rPr>
        <w:t xml:space="preserve"> I, </w:t>
      </w:r>
      <w:proofErr w:type="spellStart"/>
      <w:r w:rsidRPr="001943B9">
        <w:rPr>
          <w:rFonts w:ascii="Times New Roman" w:hAnsi="Times New Roman" w:cs="Times New Roman"/>
          <w:color w:val="000000"/>
          <w:sz w:val="13"/>
          <w:szCs w:val="13"/>
          <w:highlight w:val="white"/>
          <w:lang w:val="en-US"/>
        </w:rPr>
        <w:t>Vuruskan</w:t>
      </w:r>
      <w:proofErr w:type="spellEnd"/>
      <w:r w:rsidRPr="001943B9">
        <w:rPr>
          <w:rFonts w:ascii="Times New Roman" w:hAnsi="Times New Roman" w:cs="Times New Roman"/>
          <w:color w:val="000000"/>
          <w:sz w:val="13"/>
          <w:szCs w:val="13"/>
          <w:highlight w:val="white"/>
          <w:lang w:val="en-US"/>
        </w:rPr>
        <w:t xml:space="preserve"> H, </w:t>
      </w:r>
      <w:proofErr w:type="spellStart"/>
      <w:r w:rsidRPr="001943B9">
        <w:rPr>
          <w:rFonts w:ascii="Times New Roman" w:hAnsi="Times New Roman" w:cs="Times New Roman"/>
          <w:color w:val="000000"/>
          <w:sz w:val="13"/>
          <w:szCs w:val="13"/>
          <w:highlight w:val="white"/>
          <w:lang w:val="en-US"/>
        </w:rPr>
        <w:t>Oktay</w:t>
      </w:r>
      <w:proofErr w:type="spellEnd"/>
      <w:r w:rsidRPr="001943B9">
        <w:rPr>
          <w:rFonts w:ascii="Times New Roman" w:hAnsi="Times New Roman" w:cs="Times New Roman"/>
          <w:color w:val="000000"/>
          <w:sz w:val="13"/>
          <w:szCs w:val="13"/>
          <w:highlight w:val="white"/>
          <w:lang w:val="en-US"/>
        </w:rPr>
        <w:t xml:space="preserve"> B. Fournier's gangrene: an analysis of 80 patients and a novel scoring system. </w:t>
      </w:r>
      <w:r w:rsidRPr="001943B9">
        <w:rPr>
          <w:rFonts w:ascii="Times New Roman" w:hAnsi="Times New Roman" w:cs="Times New Roman"/>
          <w:i/>
          <w:iCs/>
          <w:color w:val="000000"/>
          <w:sz w:val="13"/>
          <w:szCs w:val="13"/>
          <w:highlight w:val="white"/>
          <w:lang w:val="en-US"/>
        </w:rPr>
        <w:t xml:space="preserve">Tech </w:t>
      </w:r>
      <w:proofErr w:type="spellStart"/>
      <w:r w:rsidRPr="001943B9">
        <w:rPr>
          <w:rFonts w:ascii="Times New Roman" w:hAnsi="Times New Roman" w:cs="Times New Roman"/>
          <w:i/>
          <w:iCs/>
          <w:color w:val="000000"/>
          <w:sz w:val="13"/>
          <w:szCs w:val="13"/>
          <w:highlight w:val="white"/>
          <w:lang w:val="en-US"/>
        </w:rPr>
        <w:t>Coloproctol</w:t>
      </w:r>
      <w:proofErr w:type="spellEnd"/>
      <w:r w:rsidRPr="001943B9">
        <w:rPr>
          <w:rFonts w:ascii="Times New Roman" w:hAnsi="Times New Roman" w:cs="Times New Roman"/>
          <w:color w:val="000000"/>
          <w:sz w:val="13"/>
          <w:szCs w:val="13"/>
          <w:highlight w:val="white"/>
          <w:lang w:val="en-US"/>
        </w:rPr>
        <w:t>. 2010;14(3):217-223.</w:t>
      </w:r>
    </w:p>
    <w:p w:rsidR="000159C7" w:rsidRPr="001943B9" w:rsidRDefault="000159C7" w:rsidP="000159C7">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highlight w:val="white"/>
          <w:lang w:val="en-US"/>
        </w:rPr>
      </w:pPr>
      <w:r w:rsidRPr="001943B9">
        <w:rPr>
          <w:rFonts w:ascii="Times New Roman" w:hAnsi="Times New Roman" w:cs="Times New Roman"/>
          <w:color w:val="000000"/>
          <w:sz w:val="13"/>
          <w:szCs w:val="13"/>
          <w:highlight w:val="white"/>
          <w:lang w:val="en-US"/>
        </w:rPr>
        <w:t xml:space="preserve">Lin TY, </w:t>
      </w:r>
      <w:proofErr w:type="spellStart"/>
      <w:r w:rsidRPr="001943B9">
        <w:rPr>
          <w:rFonts w:ascii="Times New Roman" w:hAnsi="Times New Roman" w:cs="Times New Roman"/>
          <w:color w:val="000000"/>
          <w:sz w:val="13"/>
          <w:szCs w:val="13"/>
          <w:highlight w:val="white"/>
          <w:lang w:val="en-US"/>
        </w:rPr>
        <w:t>Ou</w:t>
      </w:r>
      <w:proofErr w:type="spellEnd"/>
      <w:r w:rsidRPr="001943B9">
        <w:rPr>
          <w:rFonts w:ascii="Times New Roman" w:hAnsi="Times New Roman" w:cs="Times New Roman"/>
          <w:color w:val="000000"/>
          <w:sz w:val="13"/>
          <w:szCs w:val="13"/>
          <w:highlight w:val="white"/>
          <w:lang w:val="en-US"/>
        </w:rPr>
        <w:t xml:space="preserve"> CH, </w:t>
      </w:r>
      <w:proofErr w:type="spellStart"/>
      <w:r w:rsidRPr="001943B9">
        <w:rPr>
          <w:rFonts w:ascii="Times New Roman" w:hAnsi="Times New Roman" w:cs="Times New Roman"/>
          <w:color w:val="000000"/>
          <w:sz w:val="13"/>
          <w:szCs w:val="13"/>
          <w:highlight w:val="white"/>
          <w:lang w:val="en-US"/>
        </w:rPr>
        <w:t>Tzai</w:t>
      </w:r>
      <w:proofErr w:type="spellEnd"/>
      <w:r w:rsidRPr="001943B9">
        <w:rPr>
          <w:rFonts w:ascii="Times New Roman" w:hAnsi="Times New Roman" w:cs="Times New Roman"/>
          <w:color w:val="000000"/>
          <w:sz w:val="13"/>
          <w:szCs w:val="13"/>
          <w:highlight w:val="white"/>
          <w:lang w:val="en-US"/>
        </w:rPr>
        <w:t xml:space="preserve"> TS, et al. Validation and simplification of Fournier's gangrene severity index. </w:t>
      </w:r>
      <w:r w:rsidRPr="001943B9">
        <w:rPr>
          <w:rFonts w:ascii="Times New Roman" w:hAnsi="Times New Roman" w:cs="Times New Roman"/>
          <w:i/>
          <w:iCs/>
          <w:color w:val="000000"/>
          <w:sz w:val="13"/>
          <w:szCs w:val="13"/>
          <w:highlight w:val="white"/>
          <w:lang w:val="en-US"/>
        </w:rPr>
        <w:t>Int J Urol</w:t>
      </w:r>
      <w:r w:rsidRPr="001943B9">
        <w:rPr>
          <w:rFonts w:ascii="Times New Roman" w:hAnsi="Times New Roman" w:cs="Times New Roman"/>
          <w:color w:val="000000"/>
          <w:sz w:val="13"/>
          <w:szCs w:val="13"/>
          <w:highlight w:val="white"/>
          <w:lang w:val="en-US"/>
        </w:rPr>
        <w:t>. 2014;21(7):696-701.</w:t>
      </w:r>
    </w:p>
    <w:p w:rsidR="00D9000A" w:rsidRPr="00D9000A" w:rsidRDefault="000159C7" w:rsidP="00D9000A">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highlight w:val="white"/>
          <w:lang w:val="en-US"/>
        </w:rPr>
      </w:pPr>
      <w:proofErr w:type="spellStart"/>
      <w:r w:rsidRPr="001943B9">
        <w:rPr>
          <w:rFonts w:ascii="Times New Roman" w:hAnsi="Times New Roman" w:cs="Times New Roman"/>
          <w:sz w:val="13"/>
          <w:szCs w:val="13"/>
          <w:highlight w:val="white"/>
        </w:rPr>
        <w:t>Tufano</w:t>
      </w:r>
      <w:proofErr w:type="spellEnd"/>
      <w:r w:rsidRPr="001943B9">
        <w:rPr>
          <w:rFonts w:ascii="Times New Roman" w:hAnsi="Times New Roman" w:cs="Times New Roman"/>
          <w:sz w:val="13"/>
          <w:szCs w:val="13"/>
          <w:highlight w:val="white"/>
        </w:rPr>
        <w:t xml:space="preserve"> A, </w:t>
      </w:r>
      <w:proofErr w:type="spellStart"/>
      <w:r w:rsidRPr="001943B9">
        <w:rPr>
          <w:rFonts w:ascii="Times New Roman" w:hAnsi="Times New Roman" w:cs="Times New Roman"/>
          <w:sz w:val="13"/>
          <w:szCs w:val="13"/>
          <w:highlight w:val="white"/>
        </w:rPr>
        <w:t>Dipinto</w:t>
      </w:r>
      <w:proofErr w:type="spellEnd"/>
      <w:r w:rsidRPr="001943B9">
        <w:rPr>
          <w:rFonts w:ascii="Times New Roman" w:hAnsi="Times New Roman" w:cs="Times New Roman"/>
          <w:sz w:val="13"/>
          <w:szCs w:val="13"/>
          <w:highlight w:val="white"/>
        </w:rPr>
        <w:t xml:space="preserve"> P, </w:t>
      </w:r>
      <w:proofErr w:type="spellStart"/>
      <w:r w:rsidRPr="001943B9">
        <w:rPr>
          <w:rFonts w:ascii="Times New Roman" w:hAnsi="Times New Roman" w:cs="Times New Roman"/>
          <w:sz w:val="13"/>
          <w:szCs w:val="13"/>
          <w:highlight w:val="white"/>
        </w:rPr>
        <w:t>Passaro</w:t>
      </w:r>
      <w:proofErr w:type="spellEnd"/>
      <w:r w:rsidRPr="001943B9">
        <w:rPr>
          <w:rFonts w:ascii="Times New Roman" w:hAnsi="Times New Roman" w:cs="Times New Roman"/>
          <w:sz w:val="13"/>
          <w:szCs w:val="13"/>
          <w:highlight w:val="white"/>
        </w:rPr>
        <w:t xml:space="preserve"> F, et al. </w:t>
      </w:r>
      <w:r w:rsidRPr="001943B9">
        <w:rPr>
          <w:rFonts w:ascii="Times New Roman" w:hAnsi="Times New Roman" w:cs="Times New Roman"/>
          <w:sz w:val="13"/>
          <w:szCs w:val="13"/>
          <w:highlight w:val="white"/>
          <w:lang w:val="en-US"/>
        </w:rPr>
        <w:t>The Value of Fournier's Gangrene Scoring Systems on Admission to Predict Mortality: A Systematic Review and Meta-Analysis. </w:t>
      </w:r>
      <w:r w:rsidRPr="001943B9">
        <w:rPr>
          <w:rFonts w:ascii="Times New Roman" w:hAnsi="Times New Roman" w:cs="Times New Roman"/>
          <w:i/>
          <w:iCs/>
          <w:sz w:val="13"/>
          <w:szCs w:val="13"/>
          <w:highlight w:val="white"/>
          <w:lang w:val="en-US"/>
        </w:rPr>
        <w:t>J Pers Med</w:t>
      </w:r>
      <w:r w:rsidRPr="001943B9">
        <w:rPr>
          <w:rFonts w:ascii="Times New Roman" w:hAnsi="Times New Roman" w:cs="Times New Roman"/>
          <w:sz w:val="13"/>
          <w:szCs w:val="13"/>
          <w:highlight w:val="white"/>
          <w:lang w:val="en-US"/>
        </w:rPr>
        <w:t>. 2023;13(9):1283. Published 2023 Aug 22.</w:t>
      </w:r>
    </w:p>
    <w:p w:rsidR="000159C7" w:rsidRPr="00D9000A" w:rsidRDefault="000159C7" w:rsidP="00D9000A">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highlight w:val="white"/>
          <w:lang w:val="en-US"/>
        </w:rPr>
      </w:pPr>
      <w:r w:rsidRPr="00D9000A">
        <w:rPr>
          <w:rFonts w:ascii="Times New Roman" w:hAnsi="Times New Roman" w:cs="Times New Roman"/>
          <w:sz w:val="13"/>
          <w:szCs w:val="13"/>
          <w:lang w:val="en-US"/>
        </w:rPr>
        <w:t xml:space="preserve">Khan A, </w:t>
      </w:r>
      <w:proofErr w:type="spellStart"/>
      <w:r w:rsidRPr="00D9000A">
        <w:rPr>
          <w:rFonts w:ascii="Times New Roman" w:hAnsi="Times New Roman" w:cs="Times New Roman"/>
          <w:sz w:val="13"/>
          <w:szCs w:val="13"/>
          <w:lang w:val="en-US"/>
        </w:rPr>
        <w:t>Gidda</w:t>
      </w:r>
      <w:proofErr w:type="spellEnd"/>
      <w:r w:rsidRPr="00D9000A">
        <w:rPr>
          <w:rFonts w:ascii="Times New Roman" w:hAnsi="Times New Roman" w:cs="Times New Roman"/>
          <w:sz w:val="13"/>
          <w:szCs w:val="13"/>
          <w:lang w:val="en-US"/>
        </w:rPr>
        <w:t xml:space="preserve"> H, Murphy N, et al. An Unusual Bacterial Etiology of Fournier's Gangrene in an Immunocompetent Patient. </w:t>
      </w:r>
      <w:proofErr w:type="spellStart"/>
      <w:r w:rsidRPr="00D9000A">
        <w:rPr>
          <w:rFonts w:ascii="Times New Roman" w:hAnsi="Times New Roman" w:cs="Times New Roman"/>
          <w:i/>
          <w:iCs/>
          <w:sz w:val="13"/>
          <w:szCs w:val="13"/>
        </w:rPr>
        <w:t>Cureus</w:t>
      </w:r>
      <w:proofErr w:type="spellEnd"/>
      <w:r w:rsidRPr="00D9000A">
        <w:rPr>
          <w:rFonts w:ascii="Times New Roman" w:hAnsi="Times New Roman" w:cs="Times New Roman"/>
          <w:sz w:val="13"/>
          <w:szCs w:val="13"/>
        </w:rPr>
        <w:t xml:space="preserve">. 2022;14(7):e26616. </w:t>
      </w:r>
      <w:proofErr w:type="spellStart"/>
      <w:r w:rsidRPr="00D9000A">
        <w:rPr>
          <w:rFonts w:ascii="Times New Roman" w:hAnsi="Times New Roman" w:cs="Times New Roman"/>
          <w:sz w:val="13"/>
          <w:szCs w:val="13"/>
        </w:rPr>
        <w:t>Published</w:t>
      </w:r>
      <w:proofErr w:type="spellEnd"/>
      <w:r w:rsidRPr="00D9000A">
        <w:rPr>
          <w:rFonts w:ascii="Times New Roman" w:hAnsi="Times New Roman" w:cs="Times New Roman"/>
          <w:sz w:val="13"/>
          <w:szCs w:val="13"/>
        </w:rPr>
        <w:t xml:space="preserve"> 2022 Jul 6</w:t>
      </w:r>
      <w:r w:rsidRPr="00D9000A">
        <w:rPr>
          <w:rFonts w:ascii="Times New Roman" w:hAnsi="Times New Roman" w:cs="Times New Roman"/>
          <w:sz w:val="13"/>
          <w:szCs w:val="13"/>
          <w:lang w:val="en-US"/>
        </w:rPr>
        <w:t>.</w:t>
      </w:r>
    </w:p>
    <w:p w:rsidR="000159C7" w:rsidRPr="001943B9" w:rsidRDefault="000159C7" w:rsidP="000159C7">
      <w:pPr>
        <w:pStyle w:val="Prrafodelista"/>
        <w:numPr>
          <w:ilvl w:val="0"/>
          <w:numId w:val="18"/>
        </w:numPr>
        <w:shd w:val="clear" w:color="auto" w:fill="FFFFFF"/>
        <w:spacing w:line="240" w:lineRule="auto"/>
        <w:jc w:val="both"/>
        <w:rPr>
          <w:rFonts w:ascii="Times New Roman" w:hAnsi="Times New Roman" w:cs="Times New Roman"/>
          <w:sz w:val="13"/>
          <w:szCs w:val="13"/>
          <w:lang w:val="en-US"/>
        </w:rPr>
      </w:pPr>
      <w:r w:rsidRPr="001943B9">
        <w:rPr>
          <w:rFonts w:ascii="Times New Roman" w:hAnsi="Times New Roman" w:cs="Times New Roman"/>
          <w:sz w:val="13"/>
          <w:szCs w:val="13"/>
        </w:rPr>
        <w:t>El-</w:t>
      </w:r>
      <w:proofErr w:type="spellStart"/>
      <w:r w:rsidRPr="001943B9">
        <w:rPr>
          <w:rFonts w:ascii="Times New Roman" w:hAnsi="Times New Roman" w:cs="Times New Roman"/>
          <w:sz w:val="13"/>
          <w:szCs w:val="13"/>
        </w:rPr>
        <w:t>Qushayri</w:t>
      </w:r>
      <w:proofErr w:type="spellEnd"/>
      <w:r w:rsidRPr="001943B9">
        <w:rPr>
          <w:rFonts w:ascii="Times New Roman" w:hAnsi="Times New Roman" w:cs="Times New Roman"/>
          <w:sz w:val="13"/>
          <w:szCs w:val="13"/>
        </w:rPr>
        <w:t xml:space="preserve"> AE, </w:t>
      </w:r>
      <w:proofErr w:type="spellStart"/>
      <w:r w:rsidRPr="001943B9">
        <w:rPr>
          <w:rFonts w:ascii="Times New Roman" w:hAnsi="Times New Roman" w:cs="Times New Roman"/>
          <w:sz w:val="13"/>
          <w:szCs w:val="13"/>
        </w:rPr>
        <w:t>Khalaf</w:t>
      </w:r>
      <w:proofErr w:type="spellEnd"/>
      <w:r w:rsidRPr="001943B9">
        <w:rPr>
          <w:rFonts w:ascii="Times New Roman" w:hAnsi="Times New Roman" w:cs="Times New Roman"/>
          <w:sz w:val="13"/>
          <w:szCs w:val="13"/>
        </w:rPr>
        <w:t xml:space="preserve"> KM, </w:t>
      </w:r>
      <w:proofErr w:type="spellStart"/>
      <w:r w:rsidRPr="001943B9">
        <w:rPr>
          <w:rFonts w:ascii="Times New Roman" w:hAnsi="Times New Roman" w:cs="Times New Roman"/>
          <w:sz w:val="13"/>
          <w:szCs w:val="13"/>
        </w:rPr>
        <w:t>Dahy</w:t>
      </w:r>
      <w:proofErr w:type="spellEnd"/>
      <w:r w:rsidRPr="001943B9">
        <w:rPr>
          <w:rFonts w:ascii="Times New Roman" w:hAnsi="Times New Roman" w:cs="Times New Roman"/>
          <w:sz w:val="13"/>
          <w:szCs w:val="13"/>
        </w:rPr>
        <w:t xml:space="preserve"> A, et al. </w:t>
      </w:r>
      <w:r w:rsidRPr="001943B9">
        <w:rPr>
          <w:rFonts w:ascii="Times New Roman" w:hAnsi="Times New Roman" w:cs="Times New Roman"/>
          <w:sz w:val="13"/>
          <w:szCs w:val="13"/>
          <w:lang w:val="en-US"/>
        </w:rPr>
        <w:t>Fournier's gangrene mortality: A 17-year systematic review and meta-analysis. </w:t>
      </w:r>
      <w:r w:rsidRPr="001943B9">
        <w:rPr>
          <w:rFonts w:ascii="Times New Roman" w:hAnsi="Times New Roman" w:cs="Times New Roman"/>
          <w:i/>
          <w:iCs/>
          <w:sz w:val="13"/>
          <w:szCs w:val="13"/>
          <w:lang w:val="en-US"/>
        </w:rPr>
        <w:t>Int J Infect Dis</w:t>
      </w:r>
      <w:r w:rsidRPr="001943B9">
        <w:rPr>
          <w:rFonts w:ascii="Times New Roman" w:hAnsi="Times New Roman" w:cs="Times New Roman"/>
          <w:sz w:val="13"/>
          <w:szCs w:val="13"/>
          <w:lang w:val="en-US"/>
        </w:rPr>
        <w:t>. 2020;92:218-225.</w:t>
      </w:r>
    </w:p>
    <w:p w:rsidR="000159C7" w:rsidRPr="001943B9" w:rsidRDefault="000159C7" w:rsidP="000159C7">
      <w:pPr>
        <w:pStyle w:val="Prrafodelista"/>
        <w:numPr>
          <w:ilvl w:val="0"/>
          <w:numId w:val="18"/>
        </w:numPr>
        <w:pBdr>
          <w:top w:val="nil"/>
          <w:left w:val="nil"/>
          <w:bottom w:val="nil"/>
          <w:right w:val="nil"/>
          <w:between w:val="nil"/>
        </w:pBdr>
        <w:spacing w:line="240" w:lineRule="auto"/>
        <w:jc w:val="both"/>
        <w:rPr>
          <w:rFonts w:ascii="Times New Roman" w:hAnsi="Times New Roman" w:cs="Times New Roman"/>
          <w:color w:val="000000"/>
          <w:sz w:val="13"/>
          <w:szCs w:val="13"/>
        </w:rPr>
      </w:pPr>
      <w:r w:rsidRPr="001943B9">
        <w:rPr>
          <w:rFonts w:ascii="Times New Roman" w:hAnsi="Times New Roman" w:cs="Times New Roman"/>
          <w:sz w:val="13"/>
          <w:szCs w:val="13"/>
          <w:lang w:val="en-US"/>
        </w:rPr>
        <w:t xml:space="preserve">Sarofim M, Di Re A, </w:t>
      </w:r>
      <w:proofErr w:type="spellStart"/>
      <w:r w:rsidRPr="001943B9">
        <w:rPr>
          <w:rFonts w:ascii="Times New Roman" w:hAnsi="Times New Roman" w:cs="Times New Roman"/>
          <w:sz w:val="13"/>
          <w:szCs w:val="13"/>
          <w:lang w:val="en-US"/>
        </w:rPr>
        <w:t>Descallar</w:t>
      </w:r>
      <w:proofErr w:type="spellEnd"/>
      <w:r w:rsidRPr="001943B9">
        <w:rPr>
          <w:rFonts w:ascii="Times New Roman" w:hAnsi="Times New Roman" w:cs="Times New Roman"/>
          <w:sz w:val="13"/>
          <w:szCs w:val="13"/>
          <w:lang w:val="en-US"/>
        </w:rPr>
        <w:t xml:space="preserve"> J, </w:t>
      </w:r>
      <w:proofErr w:type="spellStart"/>
      <w:r w:rsidRPr="001943B9">
        <w:rPr>
          <w:rFonts w:ascii="Times New Roman" w:hAnsi="Times New Roman" w:cs="Times New Roman"/>
          <w:sz w:val="13"/>
          <w:szCs w:val="13"/>
          <w:lang w:val="en-US"/>
        </w:rPr>
        <w:t>Toh</w:t>
      </w:r>
      <w:proofErr w:type="spellEnd"/>
      <w:r w:rsidRPr="001943B9">
        <w:rPr>
          <w:rFonts w:ascii="Times New Roman" w:hAnsi="Times New Roman" w:cs="Times New Roman"/>
          <w:sz w:val="13"/>
          <w:szCs w:val="13"/>
          <w:lang w:val="en-US"/>
        </w:rPr>
        <w:t xml:space="preserve"> JWT. Relationship between diversional stoma and mortality rate in Fournier's gangrene: a systematic review and meta-analysis. </w:t>
      </w:r>
      <w:proofErr w:type="spellStart"/>
      <w:r w:rsidRPr="001943B9">
        <w:rPr>
          <w:rFonts w:ascii="Times New Roman" w:hAnsi="Times New Roman" w:cs="Times New Roman"/>
          <w:i/>
          <w:iCs/>
          <w:sz w:val="13"/>
          <w:szCs w:val="13"/>
        </w:rPr>
        <w:t>Langenbecks</w:t>
      </w:r>
      <w:proofErr w:type="spellEnd"/>
      <w:r w:rsidRPr="001943B9">
        <w:rPr>
          <w:rFonts w:ascii="Times New Roman" w:hAnsi="Times New Roman" w:cs="Times New Roman"/>
          <w:i/>
          <w:iCs/>
          <w:sz w:val="13"/>
          <w:szCs w:val="13"/>
        </w:rPr>
        <w:t xml:space="preserve"> </w:t>
      </w:r>
      <w:proofErr w:type="spellStart"/>
      <w:r w:rsidRPr="001943B9">
        <w:rPr>
          <w:rFonts w:ascii="Times New Roman" w:hAnsi="Times New Roman" w:cs="Times New Roman"/>
          <w:i/>
          <w:iCs/>
          <w:sz w:val="13"/>
          <w:szCs w:val="13"/>
        </w:rPr>
        <w:t>Arch</w:t>
      </w:r>
      <w:proofErr w:type="spellEnd"/>
      <w:r w:rsidRPr="001943B9">
        <w:rPr>
          <w:rFonts w:ascii="Times New Roman" w:hAnsi="Times New Roman" w:cs="Times New Roman"/>
          <w:i/>
          <w:iCs/>
          <w:sz w:val="13"/>
          <w:szCs w:val="13"/>
        </w:rPr>
        <w:t xml:space="preserve"> </w:t>
      </w:r>
      <w:proofErr w:type="spellStart"/>
      <w:r w:rsidRPr="001943B9">
        <w:rPr>
          <w:rFonts w:ascii="Times New Roman" w:hAnsi="Times New Roman" w:cs="Times New Roman"/>
          <w:i/>
          <w:iCs/>
          <w:sz w:val="13"/>
          <w:szCs w:val="13"/>
        </w:rPr>
        <w:t>Surg</w:t>
      </w:r>
      <w:proofErr w:type="spellEnd"/>
      <w:r w:rsidRPr="001943B9">
        <w:rPr>
          <w:rFonts w:ascii="Times New Roman" w:hAnsi="Times New Roman" w:cs="Times New Roman"/>
          <w:sz w:val="13"/>
          <w:szCs w:val="13"/>
        </w:rPr>
        <w:t>. 2021;406(8):2581-2590.</w:t>
      </w:r>
    </w:p>
    <w:p w:rsidR="000159C7" w:rsidRDefault="000159C7" w:rsidP="00F60826">
      <w:pPr>
        <w:spacing w:line="240" w:lineRule="auto"/>
        <w:jc w:val="center"/>
        <w:rPr>
          <w:rFonts w:ascii="Times New Roman" w:eastAsia="Times New Roman" w:hAnsi="Times New Roman" w:cs="Times New Roman"/>
          <w:sz w:val="14"/>
          <w:szCs w:val="17"/>
          <w:lang w:val="en-US"/>
        </w:rPr>
        <w:sectPr w:rsidR="000159C7" w:rsidSect="000159C7">
          <w:type w:val="continuous"/>
          <w:pgSz w:w="12240" w:h="15840"/>
          <w:pgMar w:top="1440" w:right="1440" w:bottom="1440" w:left="1440" w:header="720" w:footer="720" w:gutter="0"/>
          <w:pgNumType w:start="1"/>
          <w:cols w:num="2" w:space="720"/>
        </w:sectPr>
      </w:pPr>
    </w:p>
    <w:p w:rsidR="00E7742B" w:rsidRDefault="00E7742B" w:rsidP="00F60826">
      <w:pPr>
        <w:spacing w:line="240" w:lineRule="auto"/>
        <w:jc w:val="center"/>
        <w:rPr>
          <w:rFonts w:ascii="Times New Roman" w:eastAsia="Times New Roman" w:hAnsi="Times New Roman" w:cs="Times New Roman"/>
          <w:sz w:val="14"/>
          <w:szCs w:val="17"/>
          <w:lang w:val="en-US"/>
        </w:rPr>
      </w:pPr>
    </w:p>
    <w:p w:rsidR="00E7742B" w:rsidRDefault="00E7742B" w:rsidP="00F60826">
      <w:pPr>
        <w:spacing w:line="240" w:lineRule="auto"/>
        <w:jc w:val="center"/>
        <w:rPr>
          <w:rFonts w:ascii="Times New Roman" w:eastAsia="Times New Roman" w:hAnsi="Times New Roman" w:cs="Times New Roman"/>
          <w:sz w:val="14"/>
          <w:szCs w:val="17"/>
          <w:lang w:val="en-US"/>
        </w:rPr>
      </w:pPr>
    </w:p>
    <w:p w:rsidR="00E7742B" w:rsidRPr="00A25285" w:rsidRDefault="00E7742B" w:rsidP="00F60826">
      <w:pPr>
        <w:spacing w:line="240" w:lineRule="auto"/>
        <w:jc w:val="center"/>
        <w:rPr>
          <w:rFonts w:ascii="Times New Roman" w:eastAsia="Times New Roman" w:hAnsi="Times New Roman" w:cs="Times New Roman"/>
          <w:sz w:val="14"/>
          <w:szCs w:val="17"/>
          <w:lang w:val="en-US"/>
        </w:rPr>
      </w:pPr>
    </w:p>
    <w:sectPr w:rsidR="00E7742B" w:rsidRPr="00A25285" w:rsidSect="00F60826">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2E2F" w:rsidRDefault="003A2E2F" w:rsidP="00D55933">
      <w:pPr>
        <w:spacing w:line="240" w:lineRule="auto"/>
      </w:pPr>
      <w:r>
        <w:separator/>
      </w:r>
    </w:p>
  </w:endnote>
  <w:endnote w:type="continuationSeparator" w:id="0">
    <w:p w:rsidR="003A2E2F" w:rsidRDefault="003A2E2F" w:rsidP="00D55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BE8" w:rsidRPr="00D43D70" w:rsidRDefault="00732BE8" w:rsidP="0050499C">
    <w:pPr>
      <w:pStyle w:val="Normal1"/>
      <w:tabs>
        <w:tab w:val="left" w:pos="851"/>
        <w:tab w:val="left" w:pos="9214"/>
      </w:tabs>
      <w:spacing w:line="240" w:lineRule="auto"/>
      <w:rPr>
        <w:rFonts w:ascii="Times New Roman" w:hAnsi="Times New Roman" w:cs="Times New Roman"/>
        <w:b/>
        <w:i/>
        <w:sz w:val="11"/>
        <w:szCs w:val="11"/>
        <w:lang w:val="en-US"/>
      </w:rPr>
    </w:pPr>
    <w:r>
      <w:rPr>
        <w:b/>
        <w:noProof/>
        <w:sz w:val="11"/>
        <w:szCs w:val="9"/>
        <w:lang w:val="es-AR" w:eastAsia="es-AR"/>
      </w:rPr>
      <mc:AlternateContent>
        <mc:Choice Requires="wps">
          <w:drawing>
            <wp:anchor distT="0" distB="0" distL="114300" distR="114300" simplePos="0" relativeHeight="251663360" behindDoc="0" locked="0" layoutInCell="1" allowOverlap="1" wp14:anchorId="32E59A63" wp14:editId="2D60852F">
              <wp:simplePos x="0" y="0"/>
              <wp:positionH relativeFrom="column">
                <wp:posOffset>0</wp:posOffset>
              </wp:positionH>
              <wp:positionV relativeFrom="paragraph">
                <wp:posOffset>-55033</wp:posOffset>
              </wp:positionV>
              <wp:extent cx="5934075" cy="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934075" cy="0"/>
                      </a:xfrm>
                      <a:prstGeom prst="line">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94FA22"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4.35pt" to="46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" strokecolor="#00b0f0"/>
          </w:pict>
        </mc:Fallback>
      </mc:AlternateContent>
    </w:r>
    <w:r w:rsidRPr="008263FB">
      <w:rPr>
        <w:b/>
        <w:bCs/>
        <w:sz w:val="10"/>
        <w:szCs w:val="24"/>
        <w:lang w:val="en-US"/>
      </w:rPr>
      <w:t xml:space="preserve">VALIDATION OF PROGNOSTIC SCORES FOR FOURNIER'S GANGRENE </w:t>
    </w:r>
    <w:r>
      <w:rPr>
        <w:rFonts w:ascii="Times New Roman" w:hAnsi="Times New Roman" w:cs="Times New Roman"/>
        <w:b/>
        <w:sz w:val="11"/>
        <w:szCs w:val="11"/>
        <w:lang w:val="en-US"/>
      </w:rPr>
      <w:t xml:space="preserve">                              </w:t>
    </w:r>
    <w:r>
      <w:rPr>
        <w:rFonts w:ascii="Times New Roman" w:hAnsi="Times New Roman" w:cs="Times New Roman"/>
        <w:b/>
        <w:i/>
        <w:sz w:val="11"/>
        <w:szCs w:val="11"/>
        <w:lang w:val="en-US"/>
      </w:rPr>
      <w:t xml:space="preserve">                                                                       </w:t>
    </w:r>
    <w:r w:rsidRPr="00D43D70">
      <w:rPr>
        <w:rFonts w:ascii="Times New Roman" w:hAnsi="Times New Roman" w:cs="Times New Roman"/>
        <w:b/>
        <w:i/>
        <w:sz w:val="11"/>
        <w:szCs w:val="11"/>
        <w:lang w:val="en-US"/>
      </w:rPr>
      <w:t xml:space="preserve"> </w:t>
    </w:r>
    <w:r>
      <w:rPr>
        <w:rFonts w:ascii="Times New Roman" w:hAnsi="Times New Roman" w:cs="Times New Roman"/>
        <w:b/>
        <w:i/>
        <w:sz w:val="11"/>
        <w:szCs w:val="11"/>
        <w:lang w:val="en-US"/>
      </w:rPr>
      <w:t xml:space="preserve">                                                                                         </w:t>
    </w:r>
    <w:proofErr w:type="spellStart"/>
    <w:r>
      <w:rPr>
        <w:rFonts w:ascii="Times New Roman" w:hAnsi="Times New Roman" w:cs="Times New Roman"/>
        <w:b/>
        <w:i/>
        <w:sz w:val="11"/>
        <w:szCs w:val="11"/>
        <w:lang w:val="en-US"/>
      </w:rPr>
      <w:t>Troilo</w:t>
    </w:r>
    <w:proofErr w:type="spellEnd"/>
    <w:r>
      <w:rPr>
        <w:rFonts w:ascii="Times New Roman" w:hAnsi="Times New Roman" w:cs="Times New Roman"/>
        <w:b/>
        <w:i/>
        <w:sz w:val="11"/>
        <w:szCs w:val="11"/>
        <w:lang w:val="en-US"/>
      </w:rPr>
      <w:t xml:space="preserve"> F, et al. </w:t>
    </w:r>
  </w:p>
  <w:p w:rsidR="00732BE8" w:rsidRPr="009E62E5" w:rsidRDefault="00732BE8" w:rsidP="006E0E5E">
    <w:pPr>
      <w:pStyle w:val="Normal1"/>
      <w:tabs>
        <w:tab w:val="left" w:pos="851"/>
      </w:tabs>
      <w:spacing w:line="240" w:lineRule="auto"/>
      <w:jc w:val="both"/>
      <w:rPr>
        <w:b/>
        <w:sz w:val="11"/>
        <w:lang w:val="en-US"/>
      </w:rPr>
    </w:pPr>
  </w:p>
  <w:p w:rsidR="00732BE8" w:rsidRPr="0040525F" w:rsidRDefault="00732BE8" w:rsidP="00252CDC">
    <w:pPr>
      <w:pStyle w:val="Job-txtsin"/>
      <w:spacing w:line="240" w:lineRule="auto"/>
      <w:jc w:val="left"/>
      <w:rPr>
        <w:b/>
        <w:sz w:val="11"/>
        <w:lang w:val="en-US"/>
      </w:rPr>
    </w:pPr>
    <w:r>
      <w:rPr>
        <w:b/>
        <w:sz w:val="11"/>
        <w:lang w:val="en-US"/>
      </w:rPr>
      <w:t xml:space="preserve"> </w:t>
    </w:r>
  </w:p>
  <w:p w:rsidR="00732BE8" w:rsidRPr="00252CDC" w:rsidRDefault="00732BE8">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2E2F" w:rsidRDefault="003A2E2F" w:rsidP="00D55933">
      <w:pPr>
        <w:spacing w:line="240" w:lineRule="auto"/>
      </w:pPr>
      <w:r>
        <w:separator/>
      </w:r>
    </w:p>
  </w:footnote>
  <w:footnote w:type="continuationSeparator" w:id="0">
    <w:p w:rsidR="003A2E2F" w:rsidRDefault="003A2E2F" w:rsidP="00D559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BE8" w:rsidRPr="00FF1A5D" w:rsidRDefault="00732BE8" w:rsidP="007B73BB">
    <w:pPr>
      <w:pStyle w:val="Encabezado"/>
      <w:rPr>
        <w:rFonts w:ascii="Times New Roman" w:hAnsi="Times New Roman" w:cs="Times New Roman"/>
        <w:b/>
        <w:sz w:val="11"/>
        <w:szCs w:val="9"/>
        <w:lang w:val="en-US"/>
      </w:rPr>
    </w:pPr>
    <w:r>
      <w:rPr>
        <w:rFonts w:ascii="Times New Roman" w:hAnsi="Times New Roman" w:cs="Times New Roman"/>
        <w:b/>
        <w:sz w:val="11"/>
        <w:szCs w:val="9"/>
        <w:lang w:val="en-US"/>
      </w:rPr>
      <w:t>REV ARGENT COLOPROCT | 2025 | VOL. 36</w:t>
    </w:r>
    <w:r w:rsidRPr="00FF1A5D">
      <w:rPr>
        <w:rFonts w:ascii="Times New Roman" w:hAnsi="Times New Roman" w:cs="Times New Roman"/>
        <w:b/>
        <w:sz w:val="11"/>
        <w:szCs w:val="9"/>
        <w:lang w:val="en-US"/>
      </w:rPr>
      <w:t>, N</w:t>
    </w:r>
    <w:r w:rsidRPr="00FF1A5D">
      <w:rPr>
        <w:rFonts w:ascii="Times New Roman" w:hAnsi="Times New Roman" w:cs="Times New Roman"/>
        <w:b/>
        <w:sz w:val="11"/>
        <w:szCs w:val="9"/>
        <w:vertAlign w:val="superscript"/>
        <w:lang w:val="en-US"/>
      </w:rPr>
      <w:t>o</w:t>
    </w:r>
    <w:r>
      <w:rPr>
        <w:rFonts w:ascii="Times New Roman" w:hAnsi="Times New Roman" w:cs="Times New Roman"/>
        <w:b/>
        <w:sz w:val="11"/>
        <w:szCs w:val="9"/>
        <w:lang w:val="en-US"/>
      </w:rPr>
      <w:t xml:space="preserve"> 3</w:t>
    </w:r>
    <w:r w:rsidRPr="00FF1A5D">
      <w:rPr>
        <w:rFonts w:ascii="Times New Roman" w:hAnsi="Times New Roman" w:cs="Times New Roman"/>
        <w:b/>
        <w:sz w:val="11"/>
        <w:szCs w:val="9"/>
      </w:rPr>
      <w:ptab w:relativeTo="margin" w:alignment="right" w:leader="none"/>
    </w:r>
    <w:r w:rsidRPr="00FF1A5D">
      <w:rPr>
        <w:rFonts w:ascii="Times New Roman" w:hAnsi="Times New Roman" w:cs="Times New Roman"/>
        <w:b/>
        <w:sz w:val="11"/>
        <w:szCs w:val="9"/>
        <w:lang w:val="en-US"/>
      </w:rPr>
      <w:t xml:space="preserve">        </w:t>
    </w:r>
    <w:r>
      <w:rPr>
        <w:rFonts w:ascii="Times New Roman" w:hAnsi="Times New Roman" w:cs="Times New Roman"/>
        <w:b/>
        <w:sz w:val="11"/>
        <w:szCs w:val="9"/>
        <w:lang w:val="en-US"/>
      </w:rPr>
      <w:t>ORIGINAL ARTICLE</w:t>
    </w:r>
  </w:p>
  <w:p w:rsidR="00732BE8" w:rsidRDefault="00732BE8" w:rsidP="007B73BB">
    <w:pPr>
      <w:pStyle w:val="Encabezado"/>
      <w:rPr>
        <w:b/>
        <w:sz w:val="11"/>
        <w:szCs w:val="9"/>
        <w:lang w:val="en-US"/>
      </w:rPr>
    </w:pPr>
  </w:p>
  <w:p w:rsidR="00732BE8" w:rsidRPr="00A80F29" w:rsidRDefault="00732BE8" w:rsidP="007B73BB">
    <w:pPr>
      <w:pStyle w:val="Encabezado"/>
      <w:rPr>
        <w:b/>
        <w:sz w:val="11"/>
        <w:szCs w:val="9"/>
        <w:lang w:val="en-US"/>
      </w:rPr>
    </w:pPr>
    <w:r>
      <w:rPr>
        <w:b/>
        <w:noProof/>
        <w:sz w:val="11"/>
        <w:szCs w:val="9"/>
        <w:lang w:val="es-AR" w:eastAsia="es-AR"/>
      </w:rPr>
      <mc:AlternateContent>
        <mc:Choice Requires="wps">
          <w:drawing>
            <wp:anchor distT="0" distB="0" distL="114300" distR="114300" simplePos="0" relativeHeight="251661312" behindDoc="0" locked="0" layoutInCell="1" allowOverlap="1" wp14:anchorId="3128299D" wp14:editId="6CD14233">
              <wp:simplePos x="0" y="0"/>
              <wp:positionH relativeFrom="column">
                <wp:posOffset>4445</wp:posOffset>
              </wp:positionH>
              <wp:positionV relativeFrom="paragraph">
                <wp:posOffset>22823</wp:posOffset>
              </wp:positionV>
              <wp:extent cx="593407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934075" cy="0"/>
                      </a:xfrm>
                      <a:prstGeom prst="line">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2661C8"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1.8pt" to="467.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" strokecolor="#00b0f0"/>
          </w:pict>
        </mc:Fallback>
      </mc:AlternateContent>
    </w:r>
  </w:p>
  <w:p w:rsidR="00732BE8" w:rsidRPr="007B73BB" w:rsidRDefault="00732BE8">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1B5"/>
    <w:multiLevelType w:val="hybridMultilevel"/>
    <w:tmpl w:val="122C8B06"/>
    <w:lvl w:ilvl="0" w:tplc="D9181644">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0BFC75F7"/>
    <w:multiLevelType w:val="hybridMultilevel"/>
    <w:tmpl w:val="8FC4C5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A624559"/>
    <w:multiLevelType w:val="hybridMultilevel"/>
    <w:tmpl w:val="3D6CCAD0"/>
    <w:lvl w:ilvl="0" w:tplc="8FE244B0">
      <w:numFmt w:val="bullet"/>
      <w:lvlText w:val=""/>
      <w:lvlJc w:val="left"/>
      <w:pPr>
        <w:ind w:left="720" w:hanging="360"/>
      </w:pPr>
      <w:rPr>
        <w:rFonts w:ascii="Symbol" w:eastAsia="Times New Roman" w:hAnsi="Symbol" w:cs="Times New Roman" w:hint="default"/>
        <w:b/>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7712C0"/>
    <w:multiLevelType w:val="hybridMultilevel"/>
    <w:tmpl w:val="E8F20B8A"/>
    <w:lvl w:ilvl="0" w:tplc="D9181644">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305F5D1D"/>
    <w:multiLevelType w:val="hybridMultilevel"/>
    <w:tmpl w:val="F220649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33E92431"/>
    <w:multiLevelType w:val="hybridMultilevel"/>
    <w:tmpl w:val="41CA44E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CCA42B1"/>
    <w:multiLevelType w:val="multilevel"/>
    <w:tmpl w:val="6FA0A8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11013F"/>
    <w:multiLevelType w:val="hybridMultilevel"/>
    <w:tmpl w:val="E0769CC4"/>
    <w:lvl w:ilvl="0" w:tplc="D9181644">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41B328B9"/>
    <w:multiLevelType w:val="hybridMultilevel"/>
    <w:tmpl w:val="111838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546549B"/>
    <w:multiLevelType w:val="multilevel"/>
    <w:tmpl w:val="24C0343E"/>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0" w15:restartNumberingAfterBreak="0">
    <w:nsid w:val="4BF25239"/>
    <w:multiLevelType w:val="hybridMultilevel"/>
    <w:tmpl w:val="AABC692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50C133BB"/>
    <w:multiLevelType w:val="hybridMultilevel"/>
    <w:tmpl w:val="92A436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92E727E"/>
    <w:multiLevelType w:val="hybridMultilevel"/>
    <w:tmpl w:val="867CBFB8"/>
    <w:lvl w:ilvl="0" w:tplc="8FE244B0">
      <w:numFmt w:val="bullet"/>
      <w:lvlText w:val=""/>
      <w:lvlJc w:val="left"/>
      <w:pPr>
        <w:ind w:left="720" w:hanging="360"/>
      </w:pPr>
      <w:rPr>
        <w:rFonts w:ascii="Symbol" w:eastAsia="Times New Roman" w:hAnsi="Symbol" w:cs="Times New Roman" w:hint="default"/>
        <w:b/>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D5134DE"/>
    <w:multiLevelType w:val="hybridMultilevel"/>
    <w:tmpl w:val="EA86D83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62023E0F"/>
    <w:multiLevelType w:val="hybridMultilevel"/>
    <w:tmpl w:val="25D4A854"/>
    <w:lvl w:ilvl="0" w:tplc="D918164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E1A3451"/>
    <w:multiLevelType w:val="hybridMultilevel"/>
    <w:tmpl w:val="85744430"/>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77716D99"/>
    <w:multiLevelType w:val="hybridMultilevel"/>
    <w:tmpl w:val="BDF01FF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15:restartNumberingAfterBreak="0">
    <w:nsid w:val="7FB87AB7"/>
    <w:multiLevelType w:val="multilevel"/>
    <w:tmpl w:val="15A60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5331166">
    <w:abstractNumId w:val="9"/>
  </w:num>
  <w:num w:numId="2" w16cid:durableId="103620672">
    <w:abstractNumId w:val="6"/>
  </w:num>
  <w:num w:numId="3" w16cid:durableId="1354040092">
    <w:abstractNumId w:val="1"/>
  </w:num>
  <w:num w:numId="4" w16cid:durableId="704019616">
    <w:abstractNumId w:val="17"/>
  </w:num>
  <w:num w:numId="5" w16cid:durableId="325404834">
    <w:abstractNumId w:val="5"/>
  </w:num>
  <w:num w:numId="6" w16cid:durableId="362482714">
    <w:abstractNumId w:val="4"/>
  </w:num>
  <w:num w:numId="7" w16cid:durableId="1183934992">
    <w:abstractNumId w:val="7"/>
  </w:num>
  <w:num w:numId="8" w16cid:durableId="1223099883">
    <w:abstractNumId w:val="11"/>
  </w:num>
  <w:num w:numId="9" w16cid:durableId="1422793982">
    <w:abstractNumId w:val="12"/>
  </w:num>
  <w:num w:numId="10" w16cid:durableId="1198347103">
    <w:abstractNumId w:val="2"/>
  </w:num>
  <w:num w:numId="11" w16cid:durableId="978874226">
    <w:abstractNumId w:val="10"/>
  </w:num>
  <w:num w:numId="12" w16cid:durableId="1527450235">
    <w:abstractNumId w:val="3"/>
  </w:num>
  <w:num w:numId="13" w16cid:durableId="1581871168">
    <w:abstractNumId w:val="8"/>
  </w:num>
  <w:num w:numId="14" w16cid:durableId="1219821971">
    <w:abstractNumId w:val="14"/>
  </w:num>
  <w:num w:numId="15" w16cid:durableId="324362174">
    <w:abstractNumId w:val="15"/>
  </w:num>
  <w:num w:numId="16" w16cid:durableId="534583538">
    <w:abstractNumId w:val="0"/>
  </w:num>
  <w:num w:numId="17" w16cid:durableId="1854102278">
    <w:abstractNumId w:val="13"/>
  </w:num>
  <w:num w:numId="18" w16cid:durableId="16784594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E3"/>
    <w:rsid w:val="00002C61"/>
    <w:rsid w:val="000102EE"/>
    <w:rsid w:val="00013111"/>
    <w:rsid w:val="000159C7"/>
    <w:rsid w:val="00016D6B"/>
    <w:rsid w:val="000229BB"/>
    <w:rsid w:val="00023DF3"/>
    <w:rsid w:val="00024DCA"/>
    <w:rsid w:val="00030785"/>
    <w:rsid w:val="0003142C"/>
    <w:rsid w:val="00046066"/>
    <w:rsid w:val="00056D3D"/>
    <w:rsid w:val="00073EEF"/>
    <w:rsid w:val="0007427B"/>
    <w:rsid w:val="0007481D"/>
    <w:rsid w:val="00077C22"/>
    <w:rsid w:val="00080F56"/>
    <w:rsid w:val="0008266B"/>
    <w:rsid w:val="00082D80"/>
    <w:rsid w:val="00093DBA"/>
    <w:rsid w:val="000962FA"/>
    <w:rsid w:val="000A6E5A"/>
    <w:rsid w:val="000B71E0"/>
    <w:rsid w:val="000C227B"/>
    <w:rsid w:val="000C72F5"/>
    <w:rsid w:val="000D3707"/>
    <w:rsid w:val="000D4B85"/>
    <w:rsid w:val="000D618B"/>
    <w:rsid w:val="000F0B80"/>
    <w:rsid w:val="000F0EF5"/>
    <w:rsid w:val="001008DD"/>
    <w:rsid w:val="001061CE"/>
    <w:rsid w:val="00106BE7"/>
    <w:rsid w:val="00106D7F"/>
    <w:rsid w:val="0011080C"/>
    <w:rsid w:val="001204F6"/>
    <w:rsid w:val="00130E93"/>
    <w:rsid w:val="001327D8"/>
    <w:rsid w:val="00132B3A"/>
    <w:rsid w:val="001337F2"/>
    <w:rsid w:val="001415BF"/>
    <w:rsid w:val="0014475A"/>
    <w:rsid w:val="001454B7"/>
    <w:rsid w:val="0014699A"/>
    <w:rsid w:val="00155932"/>
    <w:rsid w:val="0015639E"/>
    <w:rsid w:val="00156FAD"/>
    <w:rsid w:val="00177151"/>
    <w:rsid w:val="0017764B"/>
    <w:rsid w:val="00183DA5"/>
    <w:rsid w:val="00186502"/>
    <w:rsid w:val="00197815"/>
    <w:rsid w:val="001A1F6B"/>
    <w:rsid w:val="001A4F3B"/>
    <w:rsid w:val="001B0C94"/>
    <w:rsid w:val="001B6783"/>
    <w:rsid w:val="001C5AEA"/>
    <w:rsid w:val="001D024E"/>
    <w:rsid w:val="001E04A9"/>
    <w:rsid w:val="001E2574"/>
    <w:rsid w:val="001E268A"/>
    <w:rsid w:val="001F023A"/>
    <w:rsid w:val="001F2570"/>
    <w:rsid w:val="00201B73"/>
    <w:rsid w:val="00201FAE"/>
    <w:rsid w:val="002042BE"/>
    <w:rsid w:val="00214B38"/>
    <w:rsid w:val="00217E44"/>
    <w:rsid w:val="00224877"/>
    <w:rsid w:val="00225125"/>
    <w:rsid w:val="002313F2"/>
    <w:rsid w:val="002325C7"/>
    <w:rsid w:val="00235EA3"/>
    <w:rsid w:val="0024524F"/>
    <w:rsid w:val="00245290"/>
    <w:rsid w:val="0024699E"/>
    <w:rsid w:val="00251116"/>
    <w:rsid w:val="00252CDC"/>
    <w:rsid w:val="00256843"/>
    <w:rsid w:val="00261711"/>
    <w:rsid w:val="00261CF8"/>
    <w:rsid w:val="0026752B"/>
    <w:rsid w:val="00280878"/>
    <w:rsid w:val="00284FF7"/>
    <w:rsid w:val="00287103"/>
    <w:rsid w:val="00287CFF"/>
    <w:rsid w:val="00295EB7"/>
    <w:rsid w:val="00296E13"/>
    <w:rsid w:val="002B3098"/>
    <w:rsid w:val="002B53B5"/>
    <w:rsid w:val="002B5AB2"/>
    <w:rsid w:val="002C1E95"/>
    <w:rsid w:val="002C24AE"/>
    <w:rsid w:val="002C4D14"/>
    <w:rsid w:val="002D0C1A"/>
    <w:rsid w:val="002D2263"/>
    <w:rsid w:val="002D30DB"/>
    <w:rsid w:val="002E02A5"/>
    <w:rsid w:val="002E7ADD"/>
    <w:rsid w:val="002F40CF"/>
    <w:rsid w:val="002F7A3B"/>
    <w:rsid w:val="00301B5B"/>
    <w:rsid w:val="00305A9F"/>
    <w:rsid w:val="00320668"/>
    <w:rsid w:val="0033245B"/>
    <w:rsid w:val="00333759"/>
    <w:rsid w:val="00335C99"/>
    <w:rsid w:val="00341D08"/>
    <w:rsid w:val="003468CE"/>
    <w:rsid w:val="00347FB5"/>
    <w:rsid w:val="00350441"/>
    <w:rsid w:val="003633C7"/>
    <w:rsid w:val="00367A38"/>
    <w:rsid w:val="003837E6"/>
    <w:rsid w:val="00394E18"/>
    <w:rsid w:val="00395F23"/>
    <w:rsid w:val="00397BA0"/>
    <w:rsid w:val="003A098C"/>
    <w:rsid w:val="003A1270"/>
    <w:rsid w:val="003A133E"/>
    <w:rsid w:val="003A2E2F"/>
    <w:rsid w:val="003B017B"/>
    <w:rsid w:val="003B0526"/>
    <w:rsid w:val="003B6894"/>
    <w:rsid w:val="003B74DB"/>
    <w:rsid w:val="003C214F"/>
    <w:rsid w:val="003C2BE6"/>
    <w:rsid w:val="003C6A46"/>
    <w:rsid w:val="003C6F6C"/>
    <w:rsid w:val="003D1217"/>
    <w:rsid w:val="003D2A56"/>
    <w:rsid w:val="003D3015"/>
    <w:rsid w:val="003E27C4"/>
    <w:rsid w:val="003E5928"/>
    <w:rsid w:val="003E6534"/>
    <w:rsid w:val="003F10F4"/>
    <w:rsid w:val="003F3ADF"/>
    <w:rsid w:val="00407A66"/>
    <w:rsid w:val="00414DA9"/>
    <w:rsid w:val="0042177E"/>
    <w:rsid w:val="00421994"/>
    <w:rsid w:val="00421E02"/>
    <w:rsid w:val="004252AF"/>
    <w:rsid w:val="004317F5"/>
    <w:rsid w:val="00445B9A"/>
    <w:rsid w:val="00450083"/>
    <w:rsid w:val="00453187"/>
    <w:rsid w:val="0045548B"/>
    <w:rsid w:val="0045797C"/>
    <w:rsid w:val="00460EAA"/>
    <w:rsid w:val="00462A35"/>
    <w:rsid w:val="0047496C"/>
    <w:rsid w:val="004751D4"/>
    <w:rsid w:val="0047707C"/>
    <w:rsid w:val="00485AB7"/>
    <w:rsid w:val="00491CA5"/>
    <w:rsid w:val="00491F48"/>
    <w:rsid w:val="00492879"/>
    <w:rsid w:val="004A2623"/>
    <w:rsid w:val="004A59FE"/>
    <w:rsid w:val="004B12E9"/>
    <w:rsid w:val="004B2061"/>
    <w:rsid w:val="004C4044"/>
    <w:rsid w:val="004D18FD"/>
    <w:rsid w:val="004D5EE9"/>
    <w:rsid w:val="004E6CB7"/>
    <w:rsid w:val="004E79A6"/>
    <w:rsid w:val="0050499C"/>
    <w:rsid w:val="00506F30"/>
    <w:rsid w:val="0051139A"/>
    <w:rsid w:val="00513D94"/>
    <w:rsid w:val="00522672"/>
    <w:rsid w:val="00524E5C"/>
    <w:rsid w:val="00524F1D"/>
    <w:rsid w:val="00525BE1"/>
    <w:rsid w:val="005266E3"/>
    <w:rsid w:val="00535178"/>
    <w:rsid w:val="00535B12"/>
    <w:rsid w:val="00540117"/>
    <w:rsid w:val="00541F50"/>
    <w:rsid w:val="0054317F"/>
    <w:rsid w:val="00543375"/>
    <w:rsid w:val="005457BD"/>
    <w:rsid w:val="005474FC"/>
    <w:rsid w:val="00547806"/>
    <w:rsid w:val="00550A3F"/>
    <w:rsid w:val="00552122"/>
    <w:rsid w:val="00552D8D"/>
    <w:rsid w:val="00555C79"/>
    <w:rsid w:val="00564260"/>
    <w:rsid w:val="00567CAA"/>
    <w:rsid w:val="00570FEA"/>
    <w:rsid w:val="005714AF"/>
    <w:rsid w:val="005758D7"/>
    <w:rsid w:val="00580AD6"/>
    <w:rsid w:val="00583933"/>
    <w:rsid w:val="0058721A"/>
    <w:rsid w:val="00592B9F"/>
    <w:rsid w:val="005A0EB7"/>
    <w:rsid w:val="005A2124"/>
    <w:rsid w:val="005A7EBA"/>
    <w:rsid w:val="005B69F4"/>
    <w:rsid w:val="005C21D3"/>
    <w:rsid w:val="005C313F"/>
    <w:rsid w:val="005D3E80"/>
    <w:rsid w:val="005D536F"/>
    <w:rsid w:val="005D6358"/>
    <w:rsid w:val="005D69CC"/>
    <w:rsid w:val="005E037D"/>
    <w:rsid w:val="005E357F"/>
    <w:rsid w:val="005E4FC3"/>
    <w:rsid w:val="005E7B51"/>
    <w:rsid w:val="005F19D5"/>
    <w:rsid w:val="005F2271"/>
    <w:rsid w:val="006034B4"/>
    <w:rsid w:val="0061033B"/>
    <w:rsid w:val="0061290C"/>
    <w:rsid w:val="00614345"/>
    <w:rsid w:val="00614A4F"/>
    <w:rsid w:val="00615BB8"/>
    <w:rsid w:val="006362C2"/>
    <w:rsid w:val="0063749C"/>
    <w:rsid w:val="00640B63"/>
    <w:rsid w:val="00651787"/>
    <w:rsid w:val="0065513D"/>
    <w:rsid w:val="0065681A"/>
    <w:rsid w:val="00662261"/>
    <w:rsid w:val="0066680A"/>
    <w:rsid w:val="00666EFB"/>
    <w:rsid w:val="006703A4"/>
    <w:rsid w:val="00670CD7"/>
    <w:rsid w:val="0067300C"/>
    <w:rsid w:val="00673393"/>
    <w:rsid w:val="00673F36"/>
    <w:rsid w:val="00684CE7"/>
    <w:rsid w:val="006858E8"/>
    <w:rsid w:val="00693C14"/>
    <w:rsid w:val="0069733E"/>
    <w:rsid w:val="006A1671"/>
    <w:rsid w:val="006A724F"/>
    <w:rsid w:val="006B52F2"/>
    <w:rsid w:val="006B775E"/>
    <w:rsid w:val="006C58D9"/>
    <w:rsid w:val="006D0A4F"/>
    <w:rsid w:val="006D31CF"/>
    <w:rsid w:val="006D3F8D"/>
    <w:rsid w:val="006E0E5E"/>
    <w:rsid w:val="006E4A9D"/>
    <w:rsid w:val="00702C86"/>
    <w:rsid w:val="00704674"/>
    <w:rsid w:val="007126A2"/>
    <w:rsid w:val="00715822"/>
    <w:rsid w:val="007177C3"/>
    <w:rsid w:val="00717A3E"/>
    <w:rsid w:val="0072004D"/>
    <w:rsid w:val="007218A1"/>
    <w:rsid w:val="00724315"/>
    <w:rsid w:val="00732866"/>
    <w:rsid w:val="00732BE8"/>
    <w:rsid w:val="007340CA"/>
    <w:rsid w:val="007377C5"/>
    <w:rsid w:val="007519C7"/>
    <w:rsid w:val="0076286F"/>
    <w:rsid w:val="00762F71"/>
    <w:rsid w:val="00771787"/>
    <w:rsid w:val="0077442A"/>
    <w:rsid w:val="0077622F"/>
    <w:rsid w:val="00781C5B"/>
    <w:rsid w:val="00782524"/>
    <w:rsid w:val="00795F5C"/>
    <w:rsid w:val="0079615B"/>
    <w:rsid w:val="00797BBD"/>
    <w:rsid w:val="007A0A33"/>
    <w:rsid w:val="007A2411"/>
    <w:rsid w:val="007B01F7"/>
    <w:rsid w:val="007B2798"/>
    <w:rsid w:val="007B2C1D"/>
    <w:rsid w:val="007B73BB"/>
    <w:rsid w:val="007C5A50"/>
    <w:rsid w:val="007D01F0"/>
    <w:rsid w:val="007D219C"/>
    <w:rsid w:val="007D240D"/>
    <w:rsid w:val="007D67BC"/>
    <w:rsid w:val="007D7514"/>
    <w:rsid w:val="007D7A16"/>
    <w:rsid w:val="007E411B"/>
    <w:rsid w:val="007E58F9"/>
    <w:rsid w:val="007F11BC"/>
    <w:rsid w:val="007F480E"/>
    <w:rsid w:val="00800B9D"/>
    <w:rsid w:val="00811E09"/>
    <w:rsid w:val="00815B77"/>
    <w:rsid w:val="00820826"/>
    <w:rsid w:val="00821ADA"/>
    <w:rsid w:val="00826320"/>
    <w:rsid w:val="008263FB"/>
    <w:rsid w:val="00826BBC"/>
    <w:rsid w:val="008321F7"/>
    <w:rsid w:val="008343EA"/>
    <w:rsid w:val="00845AE9"/>
    <w:rsid w:val="00845D46"/>
    <w:rsid w:val="00847829"/>
    <w:rsid w:val="00853DE1"/>
    <w:rsid w:val="00855A8C"/>
    <w:rsid w:val="0086104E"/>
    <w:rsid w:val="0087155B"/>
    <w:rsid w:val="00880B62"/>
    <w:rsid w:val="0088244E"/>
    <w:rsid w:val="00882E2A"/>
    <w:rsid w:val="008905D2"/>
    <w:rsid w:val="00891B8B"/>
    <w:rsid w:val="00897052"/>
    <w:rsid w:val="008A2EE3"/>
    <w:rsid w:val="008A6A0C"/>
    <w:rsid w:val="008C1977"/>
    <w:rsid w:val="008C5F0E"/>
    <w:rsid w:val="008D32B5"/>
    <w:rsid w:val="008D409A"/>
    <w:rsid w:val="008D4235"/>
    <w:rsid w:val="008E1837"/>
    <w:rsid w:val="008E62CF"/>
    <w:rsid w:val="008E7DDD"/>
    <w:rsid w:val="008F157E"/>
    <w:rsid w:val="008F286D"/>
    <w:rsid w:val="008F39C4"/>
    <w:rsid w:val="008F4772"/>
    <w:rsid w:val="008F69D0"/>
    <w:rsid w:val="009019F7"/>
    <w:rsid w:val="00902217"/>
    <w:rsid w:val="009025E0"/>
    <w:rsid w:val="009027C7"/>
    <w:rsid w:val="00902DB3"/>
    <w:rsid w:val="009036CD"/>
    <w:rsid w:val="00912E09"/>
    <w:rsid w:val="00927BE7"/>
    <w:rsid w:val="00931DD1"/>
    <w:rsid w:val="00934267"/>
    <w:rsid w:val="00950657"/>
    <w:rsid w:val="00962987"/>
    <w:rsid w:val="00980490"/>
    <w:rsid w:val="009817F9"/>
    <w:rsid w:val="00986757"/>
    <w:rsid w:val="00990BB8"/>
    <w:rsid w:val="00992B90"/>
    <w:rsid w:val="00996617"/>
    <w:rsid w:val="009C00F6"/>
    <w:rsid w:val="009C5D29"/>
    <w:rsid w:val="009C5E1D"/>
    <w:rsid w:val="009D1B15"/>
    <w:rsid w:val="009D1DC6"/>
    <w:rsid w:val="009E4EF3"/>
    <w:rsid w:val="009E5AF6"/>
    <w:rsid w:val="009F3077"/>
    <w:rsid w:val="00A01A67"/>
    <w:rsid w:val="00A0253E"/>
    <w:rsid w:val="00A02599"/>
    <w:rsid w:val="00A0305B"/>
    <w:rsid w:val="00A11DE3"/>
    <w:rsid w:val="00A14A54"/>
    <w:rsid w:val="00A153D8"/>
    <w:rsid w:val="00A25285"/>
    <w:rsid w:val="00A2586F"/>
    <w:rsid w:val="00A26026"/>
    <w:rsid w:val="00A26B56"/>
    <w:rsid w:val="00A30724"/>
    <w:rsid w:val="00A325D6"/>
    <w:rsid w:val="00A32DA4"/>
    <w:rsid w:val="00A3320E"/>
    <w:rsid w:val="00A3383B"/>
    <w:rsid w:val="00A353D6"/>
    <w:rsid w:val="00A408B3"/>
    <w:rsid w:val="00A4091F"/>
    <w:rsid w:val="00A51F43"/>
    <w:rsid w:val="00A53153"/>
    <w:rsid w:val="00A55865"/>
    <w:rsid w:val="00A60AB2"/>
    <w:rsid w:val="00A7253F"/>
    <w:rsid w:val="00A73972"/>
    <w:rsid w:val="00AA0FE4"/>
    <w:rsid w:val="00AA4701"/>
    <w:rsid w:val="00AA518A"/>
    <w:rsid w:val="00AB0DB3"/>
    <w:rsid w:val="00AB2A29"/>
    <w:rsid w:val="00AB365B"/>
    <w:rsid w:val="00AC13DA"/>
    <w:rsid w:val="00AC1CFD"/>
    <w:rsid w:val="00AC2D5E"/>
    <w:rsid w:val="00AD2AFC"/>
    <w:rsid w:val="00AE0D8F"/>
    <w:rsid w:val="00AE4809"/>
    <w:rsid w:val="00AE613B"/>
    <w:rsid w:val="00AF0E9A"/>
    <w:rsid w:val="00AF25BF"/>
    <w:rsid w:val="00AF2D62"/>
    <w:rsid w:val="00B00589"/>
    <w:rsid w:val="00B01244"/>
    <w:rsid w:val="00B014D1"/>
    <w:rsid w:val="00B25298"/>
    <w:rsid w:val="00B274DB"/>
    <w:rsid w:val="00B3123A"/>
    <w:rsid w:val="00B40D38"/>
    <w:rsid w:val="00B4238F"/>
    <w:rsid w:val="00B5003C"/>
    <w:rsid w:val="00B55499"/>
    <w:rsid w:val="00B556BD"/>
    <w:rsid w:val="00B568F8"/>
    <w:rsid w:val="00B73659"/>
    <w:rsid w:val="00B81907"/>
    <w:rsid w:val="00B87B26"/>
    <w:rsid w:val="00BA1266"/>
    <w:rsid w:val="00BA54DD"/>
    <w:rsid w:val="00BC0784"/>
    <w:rsid w:val="00BC6D7B"/>
    <w:rsid w:val="00BD0C8D"/>
    <w:rsid w:val="00BD140C"/>
    <w:rsid w:val="00BD75C2"/>
    <w:rsid w:val="00BF0206"/>
    <w:rsid w:val="00BF541F"/>
    <w:rsid w:val="00C01508"/>
    <w:rsid w:val="00C050E6"/>
    <w:rsid w:val="00C05C0E"/>
    <w:rsid w:val="00C06FF0"/>
    <w:rsid w:val="00C11DE2"/>
    <w:rsid w:val="00C400EE"/>
    <w:rsid w:val="00C44431"/>
    <w:rsid w:val="00C4772C"/>
    <w:rsid w:val="00C502FD"/>
    <w:rsid w:val="00C515D6"/>
    <w:rsid w:val="00C526D1"/>
    <w:rsid w:val="00C5615C"/>
    <w:rsid w:val="00C57173"/>
    <w:rsid w:val="00C75486"/>
    <w:rsid w:val="00C767D1"/>
    <w:rsid w:val="00C81279"/>
    <w:rsid w:val="00C823C4"/>
    <w:rsid w:val="00C85243"/>
    <w:rsid w:val="00C9062B"/>
    <w:rsid w:val="00C93FD5"/>
    <w:rsid w:val="00CA0FC9"/>
    <w:rsid w:val="00CA2489"/>
    <w:rsid w:val="00CA5C67"/>
    <w:rsid w:val="00CA7D33"/>
    <w:rsid w:val="00CB5F9A"/>
    <w:rsid w:val="00CB6327"/>
    <w:rsid w:val="00CB6E72"/>
    <w:rsid w:val="00CD6B66"/>
    <w:rsid w:val="00CE2BD5"/>
    <w:rsid w:val="00CE625E"/>
    <w:rsid w:val="00CF18AB"/>
    <w:rsid w:val="00CF2BE6"/>
    <w:rsid w:val="00D03ADD"/>
    <w:rsid w:val="00D1247F"/>
    <w:rsid w:val="00D13953"/>
    <w:rsid w:val="00D2726D"/>
    <w:rsid w:val="00D272F4"/>
    <w:rsid w:val="00D31C48"/>
    <w:rsid w:val="00D35311"/>
    <w:rsid w:val="00D5079E"/>
    <w:rsid w:val="00D50F00"/>
    <w:rsid w:val="00D51054"/>
    <w:rsid w:val="00D55933"/>
    <w:rsid w:val="00D6529C"/>
    <w:rsid w:val="00D67173"/>
    <w:rsid w:val="00D70265"/>
    <w:rsid w:val="00D70F7E"/>
    <w:rsid w:val="00D731E7"/>
    <w:rsid w:val="00D74C50"/>
    <w:rsid w:val="00D9000A"/>
    <w:rsid w:val="00D91710"/>
    <w:rsid w:val="00DA3320"/>
    <w:rsid w:val="00DA7739"/>
    <w:rsid w:val="00DB1E3D"/>
    <w:rsid w:val="00DC239D"/>
    <w:rsid w:val="00DC6ED8"/>
    <w:rsid w:val="00DC77B9"/>
    <w:rsid w:val="00DD092F"/>
    <w:rsid w:val="00DD21CA"/>
    <w:rsid w:val="00DD2EEC"/>
    <w:rsid w:val="00DD651E"/>
    <w:rsid w:val="00DE364D"/>
    <w:rsid w:val="00DE4C59"/>
    <w:rsid w:val="00DE797C"/>
    <w:rsid w:val="00DF18B7"/>
    <w:rsid w:val="00E01487"/>
    <w:rsid w:val="00E04323"/>
    <w:rsid w:val="00E102B2"/>
    <w:rsid w:val="00E11C8C"/>
    <w:rsid w:val="00E146E7"/>
    <w:rsid w:val="00E14CEB"/>
    <w:rsid w:val="00E20C07"/>
    <w:rsid w:val="00E21B80"/>
    <w:rsid w:val="00E22D95"/>
    <w:rsid w:val="00E251FA"/>
    <w:rsid w:val="00E333FD"/>
    <w:rsid w:val="00E335B9"/>
    <w:rsid w:val="00E41C47"/>
    <w:rsid w:val="00E44C6A"/>
    <w:rsid w:val="00E5549A"/>
    <w:rsid w:val="00E56E21"/>
    <w:rsid w:val="00E609C4"/>
    <w:rsid w:val="00E6343B"/>
    <w:rsid w:val="00E67174"/>
    <w:rsid w:val="00E72479"/>
    <w:rsid w:val="00E72E6E"/>
    <w:rsid w:val="00E72FA9"/>
    <w:rsid w:val="00E75489"/>
    <w:rsid w:val="00E76510"/>
    <w:rsid w:val="00E7742B"/>
    <w:rsid w:val="00E90FF0"/>
    <w:rsid w:val="00EA5A2F"/>
    <w:rsid w:val="00EB024D"/>
    <w:rsid w:val="00EB1239"/>
    <w:rsid w:val="00EB3E6F"/>
    <w:rsid w:val="00EC1ED8"/>
    <w:rsid w:val="00EC79AE"/>
    <w:rsid w:val="00ED4034"/>
    <w:rsid w:val="00ED4638"/>
    <w:rsid w:val="00EF4A41"/>
    <w:rsid w:val="00F033B8"/>
    <w:rsid w:val="00F04910"/>
    <w:rsid w:val="00F27093"/>
    <w:rsid w:val="00F2734B"/>
    <w:rsid w:val="00F3038F"/>
    <w:rsid w:val="00F35F1D"/>
    <w:rsid w:val="00F360BF"/>
    <w:rsid w:val="00F46184"/>
    <w:rsid w:val="00F5450C"/>
    <w:rsid w:val="00F60826"/>
    <w:rsid w:val="00F64D44"/>
    <w:rsid w:val="00F744E7"/>
    <w:rsid w:val="00F813C1"/>
    <w:rsid w:val="00F83410"/>
    <w:rsid w:val="00F91939"/>
    <w:rsid w:val="00FA6C67"/>
    <w:rsid w:val="00FB305C"/>
    <w:rsid w:val="00FB6DB3"/>
    <w:rsid w:val="00FC28C5"/>
    <w:rsid w:val="00FC4405"/>
    <w:rsid w:val="00FC5673"/>
    <w:rsid w:val="00FC5B58"/>
    <w:rsid w:val="00FD1A96"/>
    <w:rsid w:val="00FD2182"/>
    <w:rsid w:val="00FD44B9"/>
    <w:rsid w:val="00FD6B13"/>
    <w:rsid w:val="00FD6F46"/>
    <w:rsid w:val="00FE50E7"/>
    <w:rsid w:val="00FE69EF"/>
    <w:rsid w:val="00FF3D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6B699"/>
  <w15:docId w15:val="{B353F89F-A99E-4E67-BEAA-04563706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9A"/>
  </w:style>
  <w:style w:type="paragraph" w:styleId="Ttulo1">
    <w:name w:val="heading 1"/>
    <w:basedOn w:val="Normal1"/>
    <w:next w:val="Normal1"/>
    <w:rsid w:val="00A11DE3"/>
    <w:pPr>
      <w:keepNext/>
      <w:keepLines/>
      <w:spacing w:before="400" w:after="120"/>
      <w:outlineLvl w:val="0"/>
    </w:pPr>
    <w:rPr>
      <w:sz w:val="40"/>
      <w:szCs w:val="40"/>
    </w:rPr>
  </w:style>
  <w:style w:type="paragraph" w:styleId="Ttulo2">
    <w:name w:val="heading 2"/>
    <w:basedOn w:val="Normal1"/>
    <w:next w:val="Normal1"/>
    <w:rsid w:val="00A11DE3"/>
    <w:pPr>
      <w:keepNext/>
      <w:keepLines/>
      <w:spacing w:before="360" w:after="120"/>
      <w:outlineLvl w:val="1"/>
    </w:pPr>
    <w:rPr>
      <w:sz w:val="32"/>
      <w:szCs w:val="32"/>
    </w:rPr>
  </w:style>
  <w:style w:type="paragraph" w:styleId="Ttulo3">
    <w:name w:val="heading 3"/>
    <w:basedOn w:val="Normal1"/>
    <w:next w:val="Normal1"/>
    <w:rsid w:val="00A11DE3"/>
    <w:pPr>
      <w:keepNext/>
      <w:keepLines/>
      <w:spacing w:before="320" w:after="80"/>
      <w:outlineLvl w:val="2"/>
    </w:pPr>
    <w:rPr>
      <w:color w:val="434343"/>
      <w:sz w:val="28"/>
      <w:szCs w:val="28"/>
    </w:rPr>
  </w:style>
  <w:style w:type="paragraph" w:styleId="Ttulo4">
    <w:name w:val="heading 4"/>
    <w:basedOn w:val="Normal1"/>
    <w:next w:val="Normal1"/>
    <w:rsid w:val="00A11DE3"/>
    <w:pPr>
      <w:keepNext/>
      <w:keepLines/>
      <w:spacing w:before="280" w:after="80"/>
      <w:outlineLvl w:val="3"/>
    </w:pPr>
    <w:rPr>
      <w:color w:val="666666"/>
      <w:sz w:val="24"/>
      <w:szCs w:val="24"/>
    </w:rPr>
  </w:style>
  <w:style w:type="paragraph" w:styleId="Ttulo5">
    <w:name w:val="heading 5"/>
    <w:basedOn w:val="Normal1"/>
    <w:next w:val="Normal1"/>
    <w:rsid w:val="00A11DE3"/>
    <w:pPr>
      <w:keepNext/>
      <w:keepLines/>
      <w:spacing w:before="240" w:after="80"/>
      <w:outlineLvl w:val="4"/>
    </w:pPr>
    <w:rPr>
      <w:color w:val="666666"/>
    </w:rPr>
  </w:style>
  <w:style w:type="paragraph" w:styleId="Ttulo6">
    <w:name w:val="heading 6"/>
    <w:basedOn w:val="Normal1"/>
    <w:next w:val="Normal1"/>
    <w:rsid w:val="00A11DE3"/>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11DE3"/>
  </w:style>
  <w:style w:type="table" w:customStyle="1" w:styleId="TableNormal">
    <w:name w:val="Table Normal"/>
    <w:rsid w:val="00A11DE3"/>
    <w:tblPr>
      <w:tblCellMar>
        <w:top w:w="0" w:type="dxa"/>
        <w:left w:w="0" w:type="dxa"/>
        <w:bottom w:w="0" w:type="dxa"/>
        <w:right w:w="0" w:type="dxa"/>
      </w:tblCellMar>
    </w:tblPr>
  </w:style>
  <w:style w:type="paragraph" w:styleId="Ttulo">
    <w:name w:val="Title"/>
    <w:basedOn w:val="Normal1"/>
    <w:next w:val="Normal1"/>
    <w:rsid w:val="00A11DE3"/>
    <w:pPr>
      <w:keepNext/>
      <w:keepLines/>
      <w:spacing w:after="60"/>
    </w:pPr>
    <w:rPr>
      <w:sz w:val="52"/>
      <w:szCs w:val="52"/>
    </w:rPr>
  </w:style>
  <w:style w:type="paragraph" w:styleId="Subttulo">
    <w:name w:val="Subtitle"/>
    <w:basedOn w:val="Normal1"/>
    <w:next w:val="Normal1"/>
    <w:rsid w:val="00A11DE3"/>
    <w:pPr>
      <w:keepNext/>
      <w:keepLines/>
      <w:spacing w:after="320"/>
    </w:pPr>
    <w:rPr>
      <w:color w:val="666666"/>
      <w:sz w:val="30"/>
      <w:szCs w:val="30"/>
    </w:rPr>
  </w:style>
  <w:style w:type="table" w:customStyle="1" w:styleId="a">
    <w:basedOn w:val="TableNormal"/>
    <w:rsid w:val="00A11DE3"/>
    <w:tblPr>
      <w:tblStyleRowBandSize w:val="1"/>
      <w:tblStyleColBandSize w:val="1"/>
      <w:tblCellMar>
        <w:left w:w="115" w:type="dxa"/>
        <w:right w:w="115" w:type="dxa"/>
      </w:tblCellMar>
    </w:tblPr>
    <w:tcPr>
      <w:shd w:val="clear" w:color="auto" w:fill="FFFFFF"/>
    </w:tcPr>
  </w:style>
  <w:style w:type="table" w:customStyle="1" w:styleId="a0">
    <w:basedOn w:val="TableNormal"/>
    <w:rsid w:val="00A11DE3"/>
    <w:tblPr>
      <w:tblStyleRowBandSize w:val="1"/>
      <w:tblStyleColBandSize w:val="1"/>
      <w:tblCellMar>
        <w:left w:w="115" w:type="dxa"/>
        <w:right w:w="115" w:type="dxa"/>
      </w:tblCellMar>
    </w:tblPr>
    <w:tcPr>
      <w:shd w:val="clear" w:color="auto" w:fill="FFFFFF"/>
    </w:tcPr>
  </w:style>
  <w:style w:type="table" w:customStyle="1" w:styleId="a1">
    <w:basedOn w:val="TableNormal"/>
    <w:rsid w:val="00A11DE3"/>
    <w:tblPr>
      <w:tblStyleRowBandSize w:val="1"/>
      <w:tblStyleColBandSize w:val="1"/>
      <w:tblCellMar>
        <w:left w:w="115" w:type="dxa"/>
        <w:right w:w="115" w:type="dxa"/>
      </w:tblCellMar>
    </w:tblPr>
    <w:tcPr>
      <w:shd w:val="clear" w:color="auto" w:fill="FFFFFF"/>
    </w:tcPr>
  </w:style>
  <w:style w:type="table" w:customStyle="1" w:styleId="a2">
    <w:basedOn w:val="TableNormal"/>
    <w:rsid w:val="00A11DE3"/>
    <w:tblPr>
      <w:tblStyleRowBandSize w:val="1"/>
      <w:tblStyleColBandSize w:val="1"/>
      <w:tblCellMar>
        <w:left w:w="115" w:type="dxa"/>
        <w:right w:w="115" w:type="dxa"/>
      </w:tblCellMar>
    </w:tblPr>
    <w:tcPr>
      <w:shd w:val="clear" w:color="auto" w:fill="FFFFFF"/>
    </w:tcPr>
  </w:style>
  <w:style w:type="paragraph" w:styleId="Textodeglobo">
    <w:name w:val="Balloon Text"/>
    <w:basedOn w:val="Normal"/>
    <w:link w:val="TextodegloboCar"/>
    <w:uiPriority w:val="99"/>
    <w:semiHidden/>
    <w:unhideWhenUsed/>
    <w:rsid w:val="001B678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6783"/>
    <w:rPr>
      <w:rFonts w:ascii="Tahoma" w:hAnsi="Tahoma" w:cs="Tahoma"/>
      <w:sz w:val="16"/>
      <w:szCs w:val="16"/>
    </w:rPr>
  </w:style>
  <w:style w:type="table" w:styleId="Tablaconcuadrcula">
    <w:name w:val="Table Grid"/>
    <w:basedOn w:val="Tablanormal"/>
    <w:uiPriority w:val="59"/>
    <w:rsid w:val="007D7A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5593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55933"/>
  </w:style>
  <w:style w:type="paragraph" w:styleId="Piedepgina">
    <w:name w:val="footer"/>
    <w:basedOn w:val="Normal"/>
    <w:link w:val="PiedepginaCar"/>
    <w:uiPriority w:val="99"/>
    <w:unhideWhenUsed/>
    <w:rsid w:val="00D5593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55933"/>
  </w:style>
  <w:style w:type="character" w:customStyle="1" w:styleId="ztplmc">
    <w:name w:val="ztplmc"/>
    <w:basedOn w:val="Fuentedeprrafopredeter"/>
    <w:rsid w:val="00C01508"/>
  </w:style>
  <w:style w:type="character" w:customStyle="1" w:styleId="hwtze">
    <w:name w:val="hwtze"/>
    <w:basedOn w:val="Fuentedeprrafopredeter"/>
    <w:rsid w:val="00C01508"/>
  </w:style>
  <w:style w:type="character" w:customStyle="1" w:styleId="rynqvb">
    <w:name w:val="rynqvb"/>
    <w:basedOn w:val="Fuentedeprrafopredeter"/>
    <w:rsid w:val="00C01508"/>
  </w:style>
  <w:style w:type="paragraph" w:styleId="Prrafodelista">
    <w:name w:val="List Paragraph"/>
    <w:basedOn w:val="Normal"/>
    <w:uiPriority w:val="34"/>
    <w:qFormat/>
    <w:rsid w:val="00715822"/>
    <w:pPr>
      <w:ind w:left="720"/>
      <w:contextualSpacing/>
    </w:pPr>
  </w:style>
  <w:style w:type="table" w:customStyle="1" w:styleId="TableNormal1">
    <w:name w:val="Table Normal1"/>
    <w:rsid w:val="00FB305C"/>
    <w:rPr>
      <w:lang w:val="es-ES_tradnl" w:eastAsia="es-MX"/>
    </w:rPr>
    <w:tblPr>
      <w:tblCellMar>
        <w:top w:w="0" w:type="dxa"/>
        <w:left w:w="0" w:type="dxa"/>
        <w:bottom w:w="0" w:type="dxa"/>
        <w:right w:w="0" w:type="dxa"/>
      </w:tblCellMar>
    </w:tblPr>
  </w:style>
  <w:style w:type="character" w:styleId="Hipervnculo">
    <w:name w:val="Hyperlink"/>
    <w:basedOn w:val="Fuentedeprrafopredeter"/>
    <w:uiPriority w:val="99"/>
    <w:unhideWhenUsed/>
    <w:rsid w:val="00395F23"/>
    <w:rPr>
      <w:color w:val="0000FF" w:themeColor="hyperlink"/>
      <w:u w:val="single"/>
    </w:rPr>
  </w:style>
  <w:style w:type="paragraph" w:customStyle="1" w:styleId="Job-txtsin">
    <w:name w:val="Job-txt sin"/>
    <w:basedOn w:val="Normal"/>
    <w:qFormat/>
    <w:rsid w:val="00252CDC"/>
    <w:pPr>
      <w:spacing w:line="360" w:lineRule="auto"/>
      <w:jc w:val="both"/>
    </w:pPr>
    <w:rPr>
      <w:rFonts w:ascii="Times New Roman" w:eastAsia="Times New Roman" w:hAnsi="Times New Roman" w:cs="Times New Roman"/>
      <w:color w:val="000000"/>
      <w:sz w:val="24"/>
      <w:szCs w:val="24"/>
      <w:lang w:val="es-AR" w:eastAsia="es-AR"/>
    </w:rPr>
  </w:style>
  <w:style w:type="paragraph" w:styleId="NormalWeb">
    <w:name w:val="Normal (Web)"/>
    <w:basedOn w:val="Normal"/>
    <w:uiPriority w:val="99"/>
    <w:unhideWhenUsed/>
    <w:rsid w:val="00F03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CA7D33"/>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AR" w:eastAsia="es-AR"/>
    </w:rPr>
  </w:style>
  <w:style w:type="character" w:customStyle="1" w:styleId="Ninguno">
    <w:name w:val="Ninguno"/>
    <w:rsid w:val="00CA7D33"/>
  </w:style>
  <w:style w:type="character" w:customStyle="1" w:styleId="name">
    <w:name w:val="name"/>
    <w:basedOn w:val="Fuentedeprrafopredeter"/>
    <w:rsid w:val="008E1837"/>
  </w:style>
  <w:style w:type="table" w:styleId="Tablaconcuadrcula6concolores">
    <w:name w:val="Grid Table 6 Colorful"/>
    <w:basedOn w:val="Tablanormal"/>
    <w:uiPriority w:val="51"/>
    <w:rsid w:val="00CF2BE6"/>
    <w:pPr>
      <w:spacing w:line="240" w:lineRule="auto"/>
    </w:pPr>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0253">
      <w:bodyDiv w:val="1"/>
      <w:marLeft w:val="0"/>
      <w:marRight w:val="0"/>
      <w:marTop w:val="0"/>
      <w:marBottom w:val="0"/>
      <w:divBdr>
        <w:top w:val="none" w:sz="0" w:space="0" w:color="auto"/>
        <w:left w:val="none" w:sz="0" w:space="0" w:color="auto"/>
        <w:bottom w:val="none" w:sz="0" w:space="0" w:color="auto"/>
        <w:right w:val="none" w:sz="0" w:space="0" w:color="auto"/>
      </w:divBdr>
      <w:divsChild>
        <w:div w:id="225994903">
          <w:marLeft w:val="0"/>
          <w:marRight w:val="0"/>
          <w:marTop w:val="0"/>
          <w:marBottom w:val="0"/>
          <w:divBdr>
            <w:top w:val="none" w:sz="0" w:space="0" w:color="auto"/>
            <w:left w:val="none" w:sz="0" w:space="0" w:color="auto"/>
            <w:bottom w:val="none" w:sz="0" w:space="0" w:color="auto"/>
            <w:right w:val="none" w:sz="0" w:space="0" w:color="auto"/>
          </w:divBdr>
        </w:div>
      </w:divsChild>
    </w:div>
    <w:div w:id="318702867">
      <w:bodyDiv w:val="1"/>
      <w:marLeft w:val="0"/>
      <w:marRight w:val="0"/>
      <w:marTop w:val="0"/>
      <w:marBottom w:val="0"/>
      <w:divBdr>
        <w:top w:val="none" w:sz="0" w:space="0" w:color="auto"/>
        <w:left w:val="none" w:sz="0" w:space="0" w:color="auto"/>
        <w:bottom w:val="none" w:sz="0" w:space="0" w:color="auto"/>
        <w:right w:val="none" w:sz="0" w:space="0" w:color="auto"/>
      </w:divBdr>
      <w:divsChild>
        <w:div w:id="1424371752">
          <w:marLeft w:val="0"/>
          <w:marRight w:val="0"/>
          <w:marTop w:val="0"/>
          <w:marBottom w:val="0"/>
          <w:divBdr>
            <w:top w:val="none" w:sz="0" w:space="0" w:color="auto"/>
            <w:left w:val="none" w:sz="0" w:space="0" w:color="auto"/>
            <w:bottom w:val="none" w:sz="0" w:space="0" w:color="auto"/>
            <w:right w:val="none" w:sz="0" w:space="0" w:color="auto"/>
          </w:divBdr>
        </w:div>
      </w:divsChild>
    </w:div>
    <w:div w:id="480579908">
      <w:bodyDiv w:val="1"/>
      <w:marLeft w:val="0"/>
      <w:marRight w:val="0"/>
      <w:marTop w:val="0"/>
      <w:marBottom w:val="0"/>
      <w:divBdr>
        <w:top w:val="none" w:sz="0" w:space="0" w:color="auto"/>
        <w:left w:val="none" w:sz="0" w:space="0" w:color="auto"/>
        <w:bottom w:val="none" w:sz="0" w:space="0" w:color="auto"/>
        <w:right w:val="none" w:sz="0" w:space="0" w:color="auto"/>
      </w:divBdr>
      <w:divsChild>
        <w:div w:id="425002826">
          <w:marLeft w:val="0"/>
          <w:marRight w:val="0"/>
          <w:marTop w:val="0"/>
          <w:marBottom w:val="0"/>
          <w:divBdr>
            <w:top w:val="none" w:sz="0" w:space="0" w:color="auto"/>
            <w:left w:val="none" w:sz="0" w:space="0" w:color="auto"/>
            <w:bottom w:val="none" w:sz="0" w:space="0" w:color="auto"/>
            <w:right w:val="none" w:sz="0" w:space="0" w:color="auto"/>
          </w:divBdr>
        </w:div>
      </w:divsChild>
    </w:div>
    <w:div w:id="1914385301">
      <w:bodyDiv w:val="1"/>
      <w:marLeft w:val="0"/>
      <w:marRight w:val="0"/>
      <w:marTop w:val="0"/>
      <w:marBottom w:val="0"/>
      <w:divBdr>
        <w:top w:val="none" w:sz="0" w:space="0" w:color="auto"/>
        <w:left w:val="none" w:sz="0" w:space="0" w:color="auto"/>
        <w:bottom w:val="none" w:sz="0" w:space="0" w:color="auto"/>
        <w:right w:val="none" w:sz="0" w:space="0" w:color="auto"/>
      </w:divBdr>
      <w:divsChild>
        <w:div w:id="1015886894">
          <w:marLeft w:val="0"/>
          <w:marRight w:val="0"/>
          <w:marTop w:val="0"/>
          <w:marBottom w:val="0"/>
          <w:divBdr>
            <w:top w:val="none" w:sz="0" w:space="0" w:color="auto"/>
            <w:left w:val="none" w:sz="0" w:space="0" w:color="auto"/>
            <w:bottom w:val="none" w:sz="0" w:space="0" w:color="auto"/>
            <w:right w:val="none" w:sz="0" w:space="0" w:color="auto"/>
          </w:divBdr>
        </w:div>
      </w:divsChild>
    </w:div>
    <w:div w:id="1976131974">
      <w:bodyDiv w:val="1"/>
      <w:marLeft w:val="0"/>
      <w:marRight w:val="0"/>
      <w:marTop w:val="0"/>
      <w:marBottom w:val="0"/>
      <w:divBdr>
        <w:top w:val="none" w:sz="0" w:space="0" w:color="auto"/>
        <w:left w:val="none" w:sz="0" w:space="0" w:color="auto"/>
        <w:bottom w:val="none" w:sz="0" w:space="0" w:color="auto"/>
        <w:right w:val="none" w:sz="0" w:space="0" w:color="auto"/>
      </w:divBdr>
      <w:divsChild>
        <w:div w:id="869801219">
          <w:marLeft w:val="0"/>
          <w:marRight w:val="0"/>
          <w:marTop w:val="0"/>
          <w:marBottom w:val="0"/>
          <w:divBdr>
            <w:top w:val="none" w:sz="0" w:space="0" w:color="auto"/>
            <w:left w:val="none" w:sz="0" w:space="0" w:color="auto"/>
            <w:bottom w:val="none" w:sz="0" w:space="0" w:color="auto"/>
            <w:right w:val="none" w:sz="0" w:space="0" w:color="auto"/>
          </w:divBdr>
        </w:div>
        <w:div w:id="1410536332">
          <w:marLeft w:val="0"/>
          <w:marRight w:val="0"/>
          <w:marTop w:val="0"/>
          <w:marBottom w:val="0"/>
          <w:divBdr>
            <w:top w:val="none" w:sz="0" w:space="0" w:color="auto"/>
            <w:left w:val="none" w:sz="0" w:space="0" w:color="auto"/>
            <w:bottom w:val="none" w:sz="0" w:space="0" w:color="auto"/>
            <w:right w:val="none" w:sz="0" w:space="0" w:color="auto"/>
          </w:divBdr>
          <w:divsChild>
            <w:div w:id="1600140547">
              <w:marLeft w:val="0"/>
              <w:marRight w:val="0"/>
              <w:marTop w:val="0"/>
              <w:marBottom w:val="0"/>
              <w:divBdr>
                <w:top w:val="none" w:sz="0" w:space="0" w:color="auto"/>
                <w:left w:val="none" w:sz="0" w:space="0" w:color="auto"/>
                <w:bottom w:val="none" w:sz="0" w:space="0" w:color="auto"/>
                <w:right w:val="none" w:sz="0" w:space="0" w:color="auto"/>
              </w:divBdr>
              <w:divsChild>
                <w:div w:id="2338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0000-0002-8513-47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1869-1861"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740-3765"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Francotroilo.94@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cid.org/0009-0004-9147-57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FA6E-CAD8-442C-92A5-B2976F38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3136</Words>
  <Characters>17250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Juan Pablo Campana</cp:lastModifiedBy>
  <cp:revision>10</cp:revision>
  <dcterms:created xsi:type="dcterms:W3CDTF">2025-08-25T03:16:00Z</dcterms:created>
  <dcterms:modified xsi:type="dcterms:W3CDTF">2025-09-04T20:37:00Z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624860655f8d1ec2b234d5236568af3d02ef70a0cda6bd4b71a8f4fc0d63f71f</vt:lpwstr>
  </property>
</Properties>
</file>